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46D210" w14:textId="77777777" w:rsidR="00DE0DBA" w:rsidRDefault="00362480" w:rsidP="003F6923">
      <w:pPr>
        <w:pStyle w:val="NoSpacing"/>
        <w:jc w:val="center"/>
      </w:pPr>
      <w:r>
        <w:rPr>
          <w:noProof/>
          <w:lang w:eastAsia="en-GB"/>
        </w:rPr>
        <w:drawing>
          <wp:anchor distT="0" distB="0" distL="114300" distR="114300" simplePos="0" relativeHeight="251659264" behindDoc="1" locked="0" layoutInCell="1" allowOverlap="1" wp14:anchorId="5346D301" wp14:editId="5346D302">
            <wp:simplePos x="0" y="0"/>
            <wp:positionH relativeFrom="column">
              <wp:posOffset>2552700</wp:posOffset>
            </wp:positionH>
            <wp:positionV relativeFrom="paragraph">
              <wp:posOffset>-476250</wp:posOffset>
            </wp:positionV>
            <wp:extent cx="1028700" cy="1028700"/>
            <wp:effectExtent l="0" t="0" r="0" b="0"/>
            <wp:wrapTight wrapText="bothSides">
              <wp:wrapPolygon edited="0">
                <wp:start x="0" y="0"/>
                <wp:lineTo x="0" y="21200"/>
                <wp:lineTo x="21200" y="21200"/>
                <wp:lineTo x="2120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028700" cy="102870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5346D211" w14:textId="77777777" w:rsidR="003F6923" w:rsidRDefault="003F6923" w:rsidP="003F6923">
      <w:pPr>
        <w:pStyle w:val="NoSpacing"/>
        <w:jc w:val="center"/>
      </w:pPr>
    </w:p>
    <w:p w14:paraId="5346D212" w14:textId="77777777" w:rsidR="003F6923" w:rsidRDefault="003F6923" w:rsidP="003F6923">
      <w:pPr>
        <w:pStyle w:val="NoSpacing"/>
        <w:jc w:val="center"/>
      </w:pPr>
    </w:p>
    <w:p w14:paraId="5346D213" w14:textId="77777777" w:rsidR="00362480" w:rsidRDefault="00362480" w:rsidP="003F6923">
      <w:pPr>
        <w:pStyle w:val="NoSpacing"/>
        <w:rPr>
          <w:rFonts w:ascii="Arial" w:hAnsi="Arial" w:cs="Arial"/>
          <w:b/>
          <w:sz w:val="20"/>
          <w:szCs w:val="20"/>
          <w:u w:val="single"/>
        </w:rPr>
      </w:pPr>
    </w:p>
    <w:p w14:paraId="5346D214" w14:textId="77777777" w:rsidR="003F6923" w:rsidRPr="00984A6C" w:rsidRDefault="00984A6C" w:rsidP="003F6923">
      <w:pPr>
        <w:pStyle w:val="NoSpacing"/>
        <w:rPr>
          <w:rFonts w:ascii="Arial" w:hAnsi="Arial" w:cs="Arial"/>
          <w:b/>
          <w:sz w:val="20"/>
          <w:szCs w:val="20"/>
          <w:u w:val="single"/>
        </w:rPr>
      </w:pPr>
      <w:r w:rsidRPr="00984A6C">
        <w:rPr>
          <w:rFonts w:ascii="Arial" w:hAnsi="Arial" w:cs="Arial"/>
          <w:b/>
          <w:sz w:val="20"/>
          <w:szCs w:val="20"/>
          <w:u w:val="single"/>
        </w:rPr>
        <w:t>Local Area Profile</w:t>
      </w:r>
    </w:p>
    <w:p w14:paraId="5346D215" w14:textId="77777777" w:rsidR="003F6923" w:rsidRDefault="003F6923" w:rsidP="003F6923">
      <w:pPr>
        <w:pStyle w:val="NoSpacing"/>
        <w:rPr>
          <w:rFonts w:ascii="Arial" w:hAnsi="Arial" w:cs="Arial"/>
          <w:b/>
          <w:sz w:val="20"/>
          <w:szCs w:val="20"/>
        </w:rPr>
      </w:pPr>
    </w:p>
    <w:p w14:paraId="5346D216" w14:textId="77777777" w:rsidR="003F6923" w:rsidRPr="0001157B" w:rsidRDefault="003F6923" w:rsidP="003F6923">
      <w:pPr>
        <w:pStyle w:val="NoSpacing"/>
        <w:rPr>
          <w:rFonts w:ascii="Arial" w:hAnsi="Arial" w:cs="Arial"/>
          <w:b/>
          <w:sz w:val="20"/>
          <w:szCs w:val="20"/>
        </w:rPr>
      </w:pPr>
    </w:p>
    <w:p w14:paraId="5346D217" w14:textId="77777777" w:rsidR="003F6923" w:rsidRDefault="009A3144" w:rsidP="003F6923">
      <w:pPr>
        <w:pStyle w:val="NoSpacing"/>
        <w:rPr>
          <w:rFonts w:ascii="Arial" w:hAnsi="Arial" w:cs="Arial"/>
          <w:b/>
          <w:sz w:val="20"/>
          <w:szCs w:val="20"/>
        </w:rPr>
      </w:pPr>
      <w:r>
        <w:rPr>
          <w:rFonts w:ascii="Arial" w:hAnsi="Arial" w:cs="Arial"/>
          <w:b/>
          <w:sz w:val="20"/>
          <w:szCs w:val="20"/>
        </w:rPr>
        <w:t>Purpose</w:t>
      </w:r>
    </w:p>
    <w:p w14:paraId="5346D218" w14:textId="77777777" w:rsidR="002054BC" w:rsidRDefault="002054BC" w:rsidP="003F6923">
      <w:pPr>
        <w:pStyle w:val="NoSpacing"/>
        <w:rPr>
          <w:rFonts w:ascii="Arial" w:hAnsi="Arial" w:cs="Arial"/>
          <w:b/>
          <w:sz w:val="20"/>
          <w:szCs w:val="20"/>
        </w:rPr>
      </w:pPr>
    </w:p>
    <w:p w14:paraId="5346D219" w14:textId="77777777" w:rsidR="003F4C43" w:rsidRDefault="001A7E23" w:rsidP="00975A12">
      <w:pPr>
        <w:pStyle w:val="NoSpacing"/>
        <w:rPr>
          <w:rFonts w:ascii="Arial" w:hAnsi="Arial" w:cs="Arial"/>
          <w:sz w:val="20"/>
          <w:szCs w:val="20"/>
        </w:rPr>
      </w:pPr>
      <w:r>
        <w:rPr>
          <w:rFonts w:ascii="Arial" w:hAnsi="Arial" w:cs="Arial"/>
          <w:sz w:val="20"/>
          <w:szCs w:val="20"/>
        </w:rPr>
        <w:t xml:space="preserve">This Local Area Profile has been developed </w:t>
      </w:r>
      <w:r w:rsidR="000A5FEB">
        <w:rPr>
          <w:rFonts w:ascii="Arial" w:hAnsi="Arial" w:cs="Arial"/>
          <w:sz w:val="20"/>
          <w:szCs w:val="20"/>
        </w:rPr>
        <w:t>to assist gambling establishment operators in g</w:t>
      </w:r>
      <w:r w:rsidR="00DA66C0">
        <w:rPr>
          <w:rFonts w:ascii="Arial" w:hAnsi="Arial" w:cs="Arial"/>
          <w:sz w:val="20"/>
          <w:szCs w:val="20"/>
        </w:rPr>
        <w:t xml:space="preserve">iving due consideration to </w:t>
      </w:r>
      <w:r w:rsidR="00E279F2">
        <w:rPr>
          <w:rFonts w:ascii="Arial" w:hAnsi="Arial" w:cs="Arial"/>
          <w:sz w:val="20"/>
          <w:szCs w:val="20"/>
        </w:rPr>
        <w:t>‘</w:t>
      </w:r>
      <w:r w:rsidR="00DF236D">
        <w:rPr>
          <w:rFonts w:ascii="Arial" w:hAnsi="Arial" w:cs="Arial"/>
          <w:sz w:val="20"/>
          <w:szCs w:val="20"/>
        </w:rPr>
        <w:t xml:space="preserve">local </w:t>
      </w:r>
      <w:r w:rsidR="00392F67">
        <w:rPr>
          <w:rFonts w:ascii="Arial" w:hAnsi="Arial" w:cs="Arial"/>
          <w:sz w:val="20"/>
          <w:szCs w:val="20"/>
        </w:rPr>
        <w:t>risk</w:t>
      </w:r>
      <w:r w:rsidR="00DF236D">
        <w:rPr>
          <w:rFonts w:ascii="Arial" w:hAnsi="Arial" w:cs="Arial"/>
          <w:sz w:val="20"/>
          <w:szCs w:val="20"/>
        </w:rPr>
        <w:t>s</w:t>
      </w:r>
      <w:r w:rsidR="00E279F2">
        <w:rPr>
          <w:rFonts w:ascii="Arial" w:hAnsi="Arial" w:cs="Arial"/>
          <w:sz w:val="20"/>
          <w:szCs w:val="20"/>
        </w:rPr>
        <w:t>’</w:t>
      </w:r>
      <w:r w:rsidR="003F4C43">
        <w:rPr>
          <w:rFonts w:ascii="Arial" w:hAnsi="Arial" w:cs="Arial"/>
          <w:sz w:val="20"/>
          <w:szCs w:val="20"/>
        </w:rPr>
        <w:t xml:space="preserve"> when applying for a licence. The aim of the profile is to allow appropriate steps to be taken to mitigate risk.</w:t>
      </w:r>
    </w:p>
    <w:p w14:paraId="5346D21A" w14:textId="77777777" w:rsidR="003401C0" w:rsidRDefault="003401C0" w:rsidP="00975A12">
      <w:pPr>
        <w:pStyle w:val="NoSpacing"/>
        <w:rPr>
          <w:rFonts w:ascii="Arial" w:hAnsi="Arial" w:cs="Arial"/>
          <w:sz w:val="20"/>
          <w:szCs w:val="20"/>
        </w:rPr>
      </w:pPr>
    </w:p>
    <w:p w14:paraId="5346D21B" w14:textId="77777777" w:rsidR="003401C0" w:rsidRDefault="003401C0" w:rsidP="00975A12">
      <w:pPr>
        <w:pStyle w:val="NoSpacing"/>
        <w:rPr>
          <w:rFonts w:ascii="Arial" w:hAnsi="Arial" w:cs="Arial"/>
          <w:sz w:val="20"/>
          <w:szCs w:val="20"/>
        </w:rPr>
      </w:pPr>
      <w:r>
        <w:rPr>
          <w:rFonts w:ascii="Arial" w:hAnsi="Arial" w:cs="Arial"/>
          <w:sz w:val="20"/>
          <w:szCs w:val="20"/>
        </w:rPr>
        <w:t xml:space="preserve">Although not compulsory, </w:t>
      </w:r>
      <w:r w:rsidR="009A3144">
        <w:rPr>
          <w:rFonts w:ascii="Arial" w:hAnsi="Arial" w:cs="Arial"/>
          <w:sz w:val="20"/>
          <w:szCs w:val="20"/>
        </w:rPr>
        <w:t xml:space="preserve">the </w:t>
      </w:r>
      <w:r w:rsidR="0091215F">
        <w:rPr>
          <w:rFonts w:ascii="Arial" w:hAnsi="Arial" w:cs="Arial"/>
          <w:sz w:val="20"/>
          <w:szCs w:val="20"/>
        </w:rPr>
        <w:t xml:space="preserve">Council decided that </w:t>
      </w:r>
      <w:r>
        <w:rPr>
          <w:rFonts w:ascii="Arial" w:hAnsi="Arial" w:cs="Arial"/>
          <w:sz w:val="20"/>
          <w:szCs w:val="20"/>
        </w:rPr>
        <w:t xml:space="preserve">a Local Area Profile would give the necessary guidance to gambling operators </w:t>
      </w:r>
      <w:r w:rsidR="009A3144">
        <w:rPr>
          <w:rFonts w:ascii="Arial" w:hAnsi="Arial" w:cs="Arial"/>
          <w:sz w:val="20"/>
          <w:szCs w:val="20"/>
        </w:rPr>
        <w:t>to</w:t>
      </w:r>
      <w:r>
        <w:rPr>
          <w:rFonts w:ascii="Arial" w:hAnsi="Arial" w:cs="Arial"/>
          <w:sz w:val="20"/>
          <w:szCs w:val="20"/>
        </w:rPr>
        <w:t xml:space="preserve"> assist them </w:t>
      </w:r>
      <w:r w:rsidR="009A3144">
        <w:rPr>
          <w:rFonts w:ascii="Arial" w:hAnsi="Arial" w:cs="Arial"/>
          <w:sz w:val="20"/>
          <w:szCs w:val="20"/>
        </w:rPr>
        <w:t>in</w:t>
      </w:r>
      <w:r>
        <w:rPr>
          <w:rFonts w:ascii="Arial" w:hAnsi="Arial" w:cs="Arial"/>
          <w:sz w:val="20"/>
          <w:szCs w:val="20"/>
        </w:rPr>
        <w:t xml:space="preserve"> </w:t>
      </w:r>
      <w:r w:rsidR="009A3144">
        <w:rPr>
          <w:rFonts w:ascii="Arial" w:hAnsi="Arial" w:cs="Arial"/>
          <w:sz w:val="20"/>
          <w:szCs w:val="20"/>
        </w:rPr>
        <w:t>fulfilling their</w:t>
      </w:r>
      <w:r>
        <w:rPr>
          <w:rFonts w:ascii="Arial" w:hAnsi="Arial" w:cs="Arial"/>
          <w:sz w:val="20"/>
          <w:szCs w:val="20"/>
        </w:rPr>
        <w:t xml:space="preserve"> duties under the new</w:t>
      </w:r>
      <w:r w:rsidR="00D378B2">
        <w:rPr>
          <w:rFonts w:ascii="Arial" w:hAnsi="Arial" w:cs="Arial"/>
          <w:sz w:val="20"/>
          <w:szCs w:val="20"/>
        </w:rPr>
        <w:t xml:space="preserve"> provisions in the</w:t>
      </w:r>
      <w:r>
        <w:rPr>
          <w:rFonts w:ascii="Arial" w:hAnsi="Arial" w:cs="Arial"/>
          <w:sz w:val="20"/>
          <w:szCs w:val="20"/>
        </w:rPr>
        <w:t xml:space="preserve"> </w:t>
      </w:r>
      <w:r w:rsidR="00D378B2">
        <w:rPr>
          <w:rFonts w:ascii="Arial" w:hAnsi="Arial" w:cs="Arial"/>
          <w:sz w:val="20"/>
          <w:szCs w:val="20"/>
        </w:rPr>
        <w:t>s</w:t>
      </w:r>
      <w:r>
        <w:rPr>
          <w:rFonts w:ascii="Arial" w:hAnsi="Arial" w:cs="Arial"/>
          <w:sz w:val="20"/>
          <w:szCs w:val="20"/>
        </w:rPr>
        <w:t xml:space="preserve">ocial </w:t>
      </w:r>
      <w:r w:rsidR="00D378B2">
        <w:rPr>
          <w:rFonts w:ascii="Arial" w:hAnsi="Arial" w:cs="Arial"/>
          <w:sz w:val="20"/>
          <w:szCs w:val="20"/>
        </w:rPr>
        <w:t>r</w:t>
      </w:r>
      <w:r>
        <w:rPr>
          <w:rFonts w:ascii="Arial" w:hAnsi="Arial" w:cs="Arial"/>
          <w:sz w:val="20"/>
          <w:szCs w:val="20"/>
        </w:rPr>
        <w:t xml:space="preserve">esponsibility </w:t>
      </w:r>
      <w:r w:rsidR="00D378B2">
        <w:rPr>
          <w:rFonts w:ascii="Arial" w:hAnsi="Arial" w:cs="Arial"/>
          <w:sz w:val="20"/>
          <w:szCs w:val="20"/>
        </w:rPr>
        <w:t>c</w:t>
      </w:r>
      <w:r>
        <w:rPr>
          <w:rFonts w:ascii="Arial" w:hAnsi="Arial" w:cs="Arial"/>
          <w:sz w:val="20"/>
          <w:szCs w:val="20"/>
        </w:rPr>
        <w:t xml:space="preserve">ode </w:t>
      </w:r>
      <w:r w:rsidR="00D378B2">
        <w:rPr>
          <w:rFonts w:ascii="Arial" w:hAnsi="Arial" w:cs="Arial"/>
          <w:sz w:val="20"/>
          <w:szCs w:val="20"/>
        </w:rPr>
        <w:t>within the Licence Conditions and Codes of Practice issued by the Gambling Commission.</w:t>
      </w:r>
    </w:p>
    <w:p w14:paraId="5346D21C" w14:textId="77777777" w:rsidR="002054BC" w:rsidRDefault="002054BC" w:rsidP="003F6923">
      <w:pPr>
        <w:pStyle w:val="NoSpacing"/>
        <w:rPr>
          <w:rFonts w:ascii="Arial" w:hAnsi="Arial" w:cs="Arial"/>
          <w:sz w:val="20"/>
          <w:szCs w:val="20"/>
        </w:rPr>
      </w:pPr>
    </w:p>
    <w:p w14:paraId="5346D21D" w14:textId="77777777" w:rsidR="002054BC" w:rsidRPr="002054BC" w:rsidRDefault="002054BC" w:rsidP="003F6923">
      <w:pPr>
        <w:pStyle w:val="NoSpacing"/>
        <w:rPr>
          <w:rFonts w:ascii="Arial" w:hAnsi="Arial" w:cs="Arial"/>
          <w:sz w:val="20"/>
          <w:szCs w:val="20"/>
        </w:rPr>
      </w:pPr>
    </w:p>
    <w:p w14:paraId="5346D21E" w14:textId="77777777" w:rsidR="009A3144" w:rsidRPr="00796158" w:rsidRDefault="009A3144" w:rsidP="009A3144">
      <w:pPr>
        <w:pStyle w:val="NoSpacing"/>
        <w:rPr>
          <w:rFonts w:ascii="Arial" w:hAnsi="Arial" w:cs="Arial"/>
          <w:b/>
          <w:color w:val="1F497D"/>
          <w:sz w:val="20"/>
        </w:rPr>
      </w:pPr>
      <w:r w:rsidRPr="00796158">
        <w:rPr>
          <w:rFonts w:ascii="Arial" w:hAnsi="Arial" w:cs="Arial"/>
          <w:b/>
          <w:color w:val="1F497D"/>
          <w:sz w:val="20"/>
        </w:rPr>
        <w:t>Gambling Act 2005</w:t>
      </w:r>
    </w:p>
    <w:p w14:paraId="5346D21F" w14:textId="77777777" w:rsidR="009A3144" w:rsidRPr="00796158" w:rsidRDefault="009A3144" w:rsidP="009A3144">
      <w:pPr>
        <w:pStyle w:val="NoSpacing"/>
        <w:rPr>
          <w:rFonts w:ascii="Arial" w:hAnsi="Arial" w:cs="Arial"/>
          <w:sz w:val="20"/>
        </w:rPr>
      </w:pPr>
    </w:p>
    <w:p w14:paraId="5346D220" w14:textId="77777777" w:rsidR="009A3144" w:rsidRPr="00796158" w:rsidRDefault="009A3144" w:rsidP="009A3144">
      <w:pPr>
        <w:pStyle w:val="NoSpacing"/>
        <w:rPr>
          <w:rFonts w:ascii="Arial" w:hAnsi="Arial" w:cs="Arial"/>
          <w:sz w:val="20"/>
        </w:rPr>
      </w:pPr>
      <w:r w:rsidRPr="00796158">
        <w:rPr>
          <w:rFonts w:ascii="Arial" w:hAnsi="Arial" w:cs="Arial"/>
          <w:sz w:val="20"/>
        </w:rPr>
        <w:t>Bristol City Council is a Licensing Authority under the Act.  The Licensing Authority is responsible for considering and determining applications for premises licences which offer</w:t>
      </w:r>
      <w:r w:rsidRPr="009A3144">
        <w:rPr>
          <w:rFonts w:ascii="Arial" w:hAnsi="Arial" w:cs="Arial"/>
          <w:sz w:val="20"/>
        </w:rPr>
        <w:t xml:space="preserve"> gambling facilities within </w:t>
      </w:r>
      <w:r>
        <w:rPr>
          <w:rFonts w:ascii="Arial" w:hAnsi="Arial" w:cs="Arial"/>
          <w:sz w:val="20"/>
        </w:rPr>
        <w:t>Bristol</w:t>
      </w:r>
      <w:r w:rsidRPr="00796158">
        <w:rPr>
          <w:rFonts w:ascii="Arial" w:hAnsi="Arial" w:cs="Arial"/>
          <w:sz w:val="20"/>
        </w:rPr>
        <w:t xml:space="preserve">. The Licensing Authority also has a role in gambling regulation by ensuring compliance with the Act.  </w:t>
      </w:r>
    </w:p>
    <w:p w14:paraId="5346D221" w14:textId="77777777" w:rsidR="009A3144" w:rsidRPr="00796158" w:rsidRDefault="009A3144" w:rsidP="009A3144">
      <w:pPr>
        <w:pStyle w:val="NoSpacing"/>
        <w:rPr>
          <w:rFonts w:ascii="Arial" w:hAnsi="Arial" w:cs="Arial"/>
          <w:sz w:val="20"/>
        </w:rPr>
      </w:pPr>
    </w:p>
    <w:p w14:paraId="5346D222" w14:textId="77777777" w:rsidR="009A3144" w:rsidRPr="00796158" w:rsidRDefault="009A3144" w:rsidP="009A3144">
      <w:pPr>
        <w:pStyle w:val="NoSpacing"/>
        <w:rPr>
          <w:rFonts w:ascii="Arial" w:hAnsi="Arial" w:cs="Arial"/>
          <w:sz w:val="20"/>
        </w:rPr>
      </w:pPr>
      <w:r w:rsidRPr="00796158">
        <w:rPr>
          <w:rFonts w:ascii="Arial" w:hAnsi="Arial" w:cs="Arial"/>
          <w:sz w:val="20"/>
        </w:rPr>
        <w:t>The Act contains three licensing objectives which guide the way that the Licensing Authority performs its functions and the way that gambling operators carry on their activities.  They are:</w:t>
      </w:r>
    </w:p>
    <w:p w14:paraId="5346D223" w14:textId="77777777" w:rsidR="009A3144" w:rsidRPr="00796158" w:rsidRDefault="009A3144" w:rsidP="009A3144">
      <w:pPr>
        <w:pStyle w:val="NoSpacing"/>
        <w:rPr>
          <w:rFonts w:ascii="Arial" w:hAnsi="Arial" w:cs="Arial"/>
          <w:sz w:val="20"/>
        </w:rPr>
      </w:pPr>
    </w:p>
    <w:p w14:paraId="5346D224" w14:textId="77777777" w:rsidR="009A3144" w:rsidRPr="00796158" w:rsidRDefault="009A3144" w:rsidP="009A3144">
      <w:pPr>
        <w:pStyle w:val="NoSpacing"/>
        <w:numPr>
          <w:ilvl w:val="0"/>
          <w:numId w:val="6"/>
        </w:numPr>
        <w:rPr>
          <w:rFonts w:ascii="Arial" w:hAnsi="Arial" w:cs="Arial"/>
          <w:sz w:val="20"/>
        </w:rPr>
      </w:pPr>
      <w:r w:rsidRPr="00796158">
        <w:rPr>
          <w:rFonts w:ascii="Arial" w:hAnsi="Arial" w:cs="Arial"/>
          <w:sz w:val="20"/>
        </w:rPr>
        <w:t>preventing gambling from being a source of crime or disorder, being associated with crime or disorder, or being used to support crime</w:t>
      </w:r>
    </w:p>
    <w:p w14:paraId="5346D225" w14:textId="77777777" w:rsidR="009A3144" w:rsidRPr="00796158" w:rsidRDefault="009A3144" w:rsidP="009A3144">
      <w:pPr>
        <w:pStyle w:val="NoSpacing"/>
        <w:numPr>
          <w:ilvl w:val="0"/>
          <w:numId w:val="6"/>
        </w:numPr>
        <w:rPr>
          <w:rFonts w:ascii="Arial" w:hAnsi="Arial" w:cs="Arial"/>
          <w:sz w:val="20"/>
        </w:rPr>
      </w:pPr>
      <w:r w:rsidRPr="00796158">
        <w:rPr>
          <w:rFonts w:ascii="Arial" w:hAnsi="Arial" w:cs="Arial"/>
          <w:sz w:val="20"/>
        </w:rPr>
        <w:t>ensuring that gambling is conducted in a fair and open way</w:t>
      </w:r>
    </w:p>
    <w:p w14:paraId="5346D226" w14:textId="77777777" w:rsidR="009A3144" w:rsidRPr="00796158" w:rsidRDefault="009A3144" w:rsidP="009A3144">
      <w:pPr>
        <w:pStyle w:val="NoSpacing"/>
        <w:numPr>
          <w:ilvl w:val="0"/>
          <w:numId w:val="6"/>
        </w:numPr>
        <w:rPr>
          <w:rFonts w:ascii="Arial" w:hAnsi="Arial" w:cs="Arial"/>
          <w:sz w:val="20"/>
        </w:rPr>
      </w:pPr>
      <w:r w:rsidRPr="00796158">
        <w:rPr>
          <w:rFonts w:ascii="Arial" w:hAnsi="Arial" w:cs="Arial"/>
          <w:sz w:val="20"/>
        </w:rPr>
        <w:t>protecting children and other vulnerable persons from being harmed or exploited by gambling</w:t>
      </w:r>
    </w:p>
    <w:p w14:paraId="5346D227" w14:textId="77777777" w:rsidR="009A3144" w:rsidRPr="00796158" w:rsidRDefault="009A3144" w:rsidP="009A3144">
      <w:pPr>
        <w:pStyle w:val="NoSpacing"/>
        <w:rPr>
          <w:rFonts w:ascii="Arial" w:hAnsi="Arial" w:cs="Arial"/>
          <w:sz w:val="20"/>
        </w:rPr>
      </w:pPr>
    </w:p>
    <w:p w14:paraId="5346D228" w14:textId="77777777" w:rsidR="009A3144" w:rsidRPr="00796158" w:rsidRDefault="009A3144" w:rsidP="009A3144">
      <w:pPr>
        <w:pStyle w:val="NoSpacing"/>
        <w:rPr>
          <w:rFonts w:ascii="Arial" w:hAnsi="Arial" w:cs="Arial"/>
          <w:sz w:val="20"/>
        </w:rPr>
      </w:pPr>
      <w:r w:rsidRPr="00796158">
        <w:rPr>
          <w:rFonts w:ascii="Arial" w:hAnsi="Arial" w:cs="Arial"/>
          <w:sz w:val="20"/>
        </w:rPr>
        <w:t>The Act places a legal duty on the Licensing Authority to aim to permit gambling in so far as it thinks it reasonably consistent with the licensing objectives.  The effect of this duty is that the Licensing Authority must approach its functions in a way that seeks to regulate gambling by using its powers where appropriate, for example to attach conditions  to licences to moderate  their impact on the licensing objectives, rather than by  setting out to prevent  gambling altogether.</w:t>
      </w:r>
    </w:p>
    <w:p w14:paraId="5346D229" w14:textId="77777777" w:rsidR="009A3144" w:rsidRPr="00796158" w:rsidRDefault="009A3144" w:rsidP="009A3144">
      <w:pPr>
        <w:pStyle w:val="NoSpacing"/>
        <w:rPr>
          <w:rFonts w:ascii="Arial" w:hAnsi="Arial" w:cs="Arial"/>
          <w:sz w:val="20"/>
        </w:rPr>
      </w:pPr>
    </w:p>
    <w:p w14:paraId="5346D22A" w14:textId="77777777" w:rsidR="009A3144" w:rsidRPr="00796158" w:rsidRDefault="009A3144" w:rsidP="009A3144">
      <w:pPr>
        <w:pStyle w:val="NoSpacing"/>
        <w:rPr>
          <w:rFonts w:ascii="Arial" w:hAnsi="Arial" w:cs="Arial"/>
          <w:sz w:val="20"/>
        </w:rPr>
      </w:pPr>
      <w:r w:rsidRPr="00796158">
        <w:rPr>
          <w:rFonts w:ascii="Arial" w:hAnsi="Arial" w:cs="Arial"/>
          <w:sz w:val="20"/>
        </w:rPr>
        <w:t>The Licensing Authority will set out how it intends to carry out its functions under the Act in its statement of licensing principles, also known as Gambling Act 2005 Statement of Licensing Policy.  This statement is kept under review and is updated every three years (as a minimum).</w:t>
      </w:r>
      <w:r w:rsidRPr="00796158">
        <w:rPr>
          <w:rFonts w:ascii="Arial" w:hAnsi="Arial" w:cs="Arial"/>
          <w:sz w:val="20"/>
        </w:rPr>
        <w:tab/>
      </w:r>
    </w:p>
    <w:p w14:paraId="5346D22B" w14:textId="77777777" w:rsidR="009A3144" w:rsidRPr="00796158" w:rsidRDefault="009A3144" w:rsidP="003F6923">
      <w:pPr>
        <w:pStyle w:val="NoSpacing"/>
        <w:rPr>
          <w:rFonts w:ascii="Arial" w:hAnsi="Arial" w:cs="Arial"/>
          <w:b/>
          <w:sz w:val="18"/>
          <w:szCs w:val="20"/>
        </w:rPr>
      </w:pPr>
    </w:p>
    <w:p w14:paraId="5346D22C" w14:textId="77777777" w:rsidR="003F6923" w:rsidRDefault="003F6923" w:rsidP="003F6923">
      <w:pPr>
        <w:pStyle w:val="NoSpacing"/>
        <w:rPr>
          <w:rFonts w:ascii="Arial" w:hAnsi="Arial" w:cs="Arial"/>
          <w:b/>
          <w:sz w:val="20"/>
          <w:szCs w:val="20"/>
        </w:rPr>
      </w:pPr>
      <w:r w:rsidRPr="0001157B">
        <w:rPr>
          <w:rFonts w:ascii="Arial" w:hAnsi="Arial" w:cs="Arial"/>
          <w:b/>
          <w:sz w:val="20"/>
          <w:szCs w:val="20"/>
        </w:rPr>
        <w:t>Background</w:t>
      </w:r>
    </w:p>
    <w:p w14:paraId="5346D22D" w14:textId="77777777" w:rsidR="001A7E23" w:rsidRDefault="001A7E23" w:rsidP="003F6923">
      <w:pPr>
        <w:pStyle w:val="NoSpacing"/>
        <w:rPr>
          <w:rFonts w:ascii="Arial" w:hAnsi="Arial" w:cs="Arial"/>
          <w:b/>
          <w:sz w:val="20"/>
          <w:szCs w:val="20"/>
        </w:rPr>
      </w:pPr>
    </w:p>
    <w:p w14:paraId="5346D22E" w14:textId="77777777" w:rsidR="003F4C43" w:rsidRDefault="003F4C43" w:rsidP="001A7E23">
      <w:pPr>
        <w:pStyle w:val="NoSpacing"/>
        <w:rPr>
          <w:rFonts w:ascii="Arial" w:hAnsi="Arial" w:cs="Arial"/>
          <w:sz w:val="20"/>
          <w:szCs w:val="20"/>
        </w:rPr>
      </w:pPr>
    </w:p>
    <w:p w14:paraId="5346D22F" w14:textId="77777777" w:rsidR="003F4C43" w:rsidRDefault="003F4C43" w:rsidP="003F6923">
      <w:pPr>
        <w:pStyle w:val="NoSpacing"/>
        <w:rPr>
          <w:rFonts w:ascii="Arial" w:hAnsi="Arial" w:cs="Arial"/>
          <w:sz w:val="20"/>
          <w:szCs w:val="20"/>
        </w:rPr>
      </w:pPr>
      <w:r>
        <w:rPr>
          <w:rFonts w:ascii="Arial" w:hAnsi="Arial" w:cs="Arial"/>
          <w:sz w:val="20"/>
          <w:szCs w:val="20"/>
        </w:rPr>
        <w:t xml:space="preserve">The Gambling Commission set out guidance for Local Authorities and developed Codes of Practice, including </w:t>
      </w:r>
      <w:r w:rsidR="009A3144">
        <w:rPr>
          <w:rFonts w:ascii="Arial" w:hAnsi="Arial" w:cs="Arial"/>
          <w:sz w:val="20"/>
          <w:szCs w:val="20"/>
        </w:rPr>
        <w:t>s</w:t>
      </w:r>
      <w:r>
        <w:rPr>
          <w:rFonts w:ascii="Arial" w:hAnsi="Arial" w:cs="Arial"/>
          <w:sz w:val="20"/>
          <w:szCs w:val="20"/>
        </w:rPr>
        <w:t xml:space="preserve">ocial </w:t>
      </w:r>
      <w:r w:rsidR="009A3144">
        <w:rPr>
          <w:rFonts w:ascii="Arial" w:hAnsi="Arial" w:cs="Arial"/>
          <w:sz w:val="20"/>
          <w:szCs w:val="20"/>
        </w:rPr>
        <w:t>r</w:t>
      </w:r>
      <w:r>
        <w:rPr>
          <w:rFonts w:ascii="Arial" w:hAnsi="Arial" w:cs="Arial"/>
          <w:sz w:val="20"/>
          <w:szCs w:val="20"/>
        </w:rPr>
        <w:t xml:space="preserve">esponsibility </w:t>
      </w:r>
      <w:r w:rsidR="009A3144">
        <w:rPr>
          <w:rFonts w:ascii="Arial" w:hAnsi="Arial" w:cs="Arial"/>
          <w:sz w:val="20"/>
          <w:szCs w:val="20"/>
        </w:rPr>
        <w:t>c</w:t>
      </w:r>
      <w:r>
        <w:rPr>
          <w:rFonts w:ascii="Arial" w:hAnsi="Arial" w:cs="Arial"/>
          <w:sz w:val="20"/>
          <w:szCs w:val="20"/>
        </w:rPr>
        <w:t xml:space="preserve">odes. </w:t>
      </w:r>
      <w:r w:rsidR="001F372C">
        <w:rPr>
          <w:rFonts w:ascii="Arial" w:hAnsi="Arial" w:cs="Arial"/>
          <w:sz w:val="20"/>
          <w:szCs w:val="20"/>
        </w:rPr>
        <w:t xml:space="preserve">These </w:t>
      </w:r>
      <w:r w:rsidR="009A3144">
        <w:rPr>
          <w:rFonts w:ascii="Arial" w:hAnsi="Arial" w:cs="Arial"/>
          <w:sz w:val="20"/>
          <w:szCs w:val="20"/>
        </w:rPr>
        <w:t>c</w:t>
      </w:r>
      <w:r w:rsidR="001F372C">
        <w:rPr>
          <w:rFonts w:ascii="Arial" w:hAnsi="Arial" w:cs="Arial"/>
          <w:sz w:val="20"/>
          <w:szCs w:val="20"/>
        </w:rPr>
        <w:t xml:space="preserve">odes are essential in ensuring a gambling operator promotes the licensing objectives as set out by </w:t>
      </w:r>
      <w:r w:rsidR="009A3144">
        <w:rPr>
          <w:rFonts w:ascii="Arial" w:hAnsi="Arial" w:cs="Arial"/>
          <w:sz w:val="20"/>
          <w:szCs w:val="20"/>
        </w:rPr>
        <w:t>t</w:t>
      </w:r>
      <w:r w:rsidR="001F372C">
        <w:rPr>
          <w:rFonts w:ascii="Arial" w:hAnsi="Arial" w:cs="Arial"/>
          <w:sz w:val="20"/>
          <w:szCs w:val="20"/>
        </w:rPr>
        <w:t xml:space="preserve">he Gambling Commission. </w:t>
      </w:r>
      <w:r w:rsidR="00552BD1">
        <w:rPr>
          <w:rFonts w:ascii="Arial" w:hAnsi="Arial" w:cs="Arial"/>
          <w:sz w:val="20"/>
          <w:szCs w:val="20"/>
        </w:rPr>
        <w:t xml:space="preserve">the </w:t>
      </w:r>
      <w:r>
        <w:rPr>
          <w:rFonts w:ascii="Arial" w:hAnsi="Arial" w:cs="Arial"/>
          <w:sz w:val="20"/>
          <w:szCs w:val="20"/>
        </w:rPr>
        <w:t xml:space="preserve">Council’s policies have </w:t>
      </w:r>
      <w:r w:rsidR="001F372C">
        <w:rPr>
          <w:rFonts w:ascii="Arial" w:hAnsi="Arial" w:cs="Arial"/>
          <w:sz w:val="20"/>
          <w:szCs w:val="20"/>
        </w:rPr>
        <w:t xml:space="preserve">continuously </w:t>
      </w:r>
      <w:r>
        <w:rPr>
          <w:rFonts w:ascii="Arial" w:hAnsi="Arial" w:cs="Arial"/>
          <w:sz w:val="20"/>
          <w:szCs w:val="20"/>
        </w:rPr>
        <w:t>been developed in relation to these codes and guidance.</w:t>
      </w:r>
    </w:p>
    <w:p w14:paraId="5346D230" w14:textId="77777777" w:rsidR="003F4C43" w:rsidRDefault="003F4C43" w:rsidP="003F6923">
      <w:pPr>
        <w:pStyle w:val="NoSpacing"/>
        <w:rPr>
          <w:rFonts w:ascii="Arial" w:hAnsi="Arial" w:cs="Arial"/>
          <w:sz w:val="20"/>
          <w:szCs w:val="20"/>
        </w:rPr>
      </w:pPr>
    </w:p>
    <w:p w14:paraId="5346D231" w14:textId="77777777" w:rsidR="001A7E23" w:rsidRDefault="003F4C43" w:rsidP="003F6923">
      <w:pPr>
        <w:pStyle w:val="NoSpacing"/>
        <w:rPr>
          <w:rFonts w:ascii="Arial" w:hAnsi="Arial" w:cs="Arial"/>
          <w:sz w:val="20"/>
          <w:szCs w:val="20"/>
        </w:rPr>
      </w:pPr>
      <w:r>
        <w:rPr>
          <w:rFonts w:ascii="Arial" w:hAnsi="Arial" w:cs="Arial"/>
          <w:sz w:val="20"/>
          <w:szCs w:val="20"/>
        </w:rPr>
        <w:t xml:space="preserve">In April 2016, </w:t>
      </w:r>
      <w:r w:rsidR="001F372C">
        <w:rPr>
          <w:rFonts w:ascii="Arial" w:hAnsi="Arial" w:cs="Arial"/>
          <w:sz w:val="20"/>
          <w:szCs w:val="20"/>
        </w:rPr>
        <w:t>The Gambling Commission introduced new Social Responsibility Code provisions within the Licence Conditions and Codes of Practice (LCCP).</w:t>
      </w:r>
      <w:r>
        <w:rPr>
          <w:rFonts w:ascii="Arial" w:hAnsi="Arial" w:cs="Arial"/>
          <w:sz w:val="20"/>
          <w:szCs w:val="20"/>
        </w:rPr>
        <w:t xml:space="preserve">  </w:t>
      </w:r>
      <w:r w:rsidR="001F372C">
        <w:rPr>
          <w:rFonts w:ascii="Arial" w:hAnsi="Arial" w:cs="Arial"/>
          <w:sz w:val="20"/>
          <w:szCs w:val="20"/>
        </w:rPr>
        <w:t xml:space="preserve">These provisions require gambling operators to </w:t>
      </w:r>
      <w:r w:rsidR="001F372C" w:rsidRPr="00167025">
        <w:rPr>
          <w:rFonts w:ascii="Arial" w:hAnsi="Arial" w:cs="Arial"/>
          <w:b/>
          <w:sz w:val="20"/>
          <w:szCs w:val="20"/>
        </w:rPr>
        <w:t>assess the local risks</w:t>
      </w:r>
      <w:r w:rsidR="001F372C">
        <w:rPr>
          <w:rFonts w:ascii="Arial" w:hAnsi="Arial" w:cs="Arial"/>
          <w:sz w:val="20"/>
          <w:szCs w:val="20"/>
        </w:rPr>
        <w:t xml:space="preserve"> to the licensing objectives posed by the provision of gambling facilities, and to have in place appropriate policies and procedures to mitigate these risks.</w:t>
      </w:r>
      <w:r w:rsidR="00254475">
        <w:rPr>
          <w:rFonts w:ascii="Arial" w:hAnsi="Arial" w:cs="Arial"/>
          <w:sz w:val="20"/>
          <w:szCs w:val="20"/>
        </w:rPr>
        <w:t xml:space="preserve"> </w:t>
      </w:r>
    </w:p>
    <w:p w14:paraId="5346D232" w14:textId="77777777" w:rsidR="00ED448B" w:rsidRDefault="00ED448B" w:rsidP="003F6923">
      <w:pPr>
        <w:pStyle w:val="NoSpacing"/>
        <w:rPr>
          <w:rFonts w:ascii="Arial" w:hAnsi="Arial" w:cs="Arial"/>
          <w:sz w:val="20"/>
          <w:szCs w:val="20"/>
        </w:rPr>
      </w:pPr>
    </w:p>
    <w:p w14:paraId="5346D233" w14:textId="77777777" w:rsidR="001F372C" w:rsidRDefault="00ED448B" w:rsidP="003F6923">
      <w:pPr>
        <w:pStyle w:val="NoSpacing"/>
        <w:rPr>
          <w:rFonts w:ascii="Arial" w:hAnsi="Arial" w:cs="Arial"/>
          <w:sz w:val="20"/>
          <w:szCs w:val="20"/>
        </w:rPr>
      </w:pPr>
      <w:r>
        <w:rPr>
          <w:rFonts w:ascii="Arial" w:hAnsi="Arial" w:cs="Arial"/>
          <w:sz w:val="20"/>
          <w:szCs w:val="20"/>
        </w:rPr>
        <w:t>From 6 April 20</w:t>
      </w:r>
      <w:r w:rsidR="003401C0">
        <w:rPr>
          <w:rFonts w:ascii="Arial" w:hAnsi="Arial" w:cs="Arial"/>
          <w:sz w:val="20"/>
          <w:szCs w:val="20"/>
        </w:rPr>
        <w:t xml:space="preserve">16, all gambling operators must take action as per the code. </w:t>
      </w:r>
      <w:r w:rsidR="001F372C">
        <w:rPr>
          <w:rFonts w:ascii="Arial" w:hAnsi="Arial" w:cs="Arial"/>
          <w:sz w:val="20"/>
          <w:szCs w:val="20"/>
        </w:rPr>
        <w:t>The Social Responsibility Code Provision 10.1.1</w:t>
      </w:r>
      <w:r w:rsidR="00E64192">
        <w:rPr>
          <w:rFonts w:ascii="Arial" w:hAnsi="Arial" w:cs="Arial"/>
          <w:sz w:val="20"/>
          <w:szCs w:val="20"/>
        </w:rPr>
        <w:t xml:space="preserve"> </w:t>
      </w:r>
      <w:r w:rsidR="001F372C">
        <w:rPr>
          <w:rFonts w:ascii="Arial" w:hAnsi="Arial" w:cs="Arial"/>
          <w:sz w:val="20"/>
          <w:szCs w:val="20"/>
        </w:rPr>
        <w:t>is as follows;</w:t>
      </w:r>
    </w:p>
    <w:tbl>
      <w:tblPr>
        <w:tblpPr w:leftFromText="180" w:rightFromText="180" w:vertAnchor="text" w:tblpX="96" w:tblpY="189"/>
        <w:tblW w:w="9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hemeFill="background1" w:themeFillShade="F2"/>
        <w:tblLook w:val="0000" w:firstRow="0" w:lastRow="0" w:firstColumn="0" w:lastColumn="0" w:noHBand="0" w:noVBand="0"/>
      </w:tblPr>
      <w:tblGrid>
        <w:gridCol w:w="9391"/>
      </w:tblGrid>
      <w:tr w:rsidR="007C4FB4" w14:paraId="5346D240" w14:textId="77777777" w:rsidTr="007C4FB4">
        <w:trPr>
          <w:trHeight w:val="3782"/>
        </w:trPr>
        <w:tc>
          <w:tcPr>
            <w:tcW w:w="9391" w:type="dxa"/>
            <w:shd w:val="clear" w:color="auto" w:fill="F2F2F2" w:themeFill="background1" w:themeFillShade="F2"/>
          </w:tcPr>
          <w:p w14:paraId="5346D234" w14:textId="77777777" w:rsidR="007C4FB4" w:rsidRDefault="007C4FB4" w:rsidP="007C4FB4">
            <w:pPr>
              <w:pStyle w:val="NoSpacing"/>
              <w:rPr>
                <w:rFonts w:ascii="Arial" w:hAnsi="Arial" w:cs="Arial"/>
                <w:lang w:eastAsia="en-GB"/>
              </w:rPr>
            </w:pPr>
          </w:p>
          <w:p w14:paraId="5346D235" w14:textId="77777777" w:rsidR="007C4FB4" w:rsidRPr="0001157B" w:rsidRDefault="007C4FB4" w:rsidP="007C4FB4">
            <w:pPr>
              <w:pStyle w:val="NoSpacing"/>
              <w:rPr>
                <w:rFonts w:ascii="Arial" w:hAnsi="Arial" w:cs="Arial"/>
                <w:lang w:eastAsia="en-GB"/>
              </w:rPr>
            </w:pPr>
            <w:r w:rsidRPr="0001157B">
              <w:rPr>
                <w:rFonts w:ascii="Arial" w:hAnsi="Arial" w:cs="Arial"/>
                <w:lang w:eastAsia="en-GB"/>
              </w:rPr>
              <w:t xml:space="preserve">Assessing local risk </w:t>
            </w:r>
          </w:p>
          <w:p w14:paraId="5346D236" w14:textId="77777777" w:rsidR="007C4FB4" w:rsidRDefault="007C4FB4" w:rsidP="007C4FB4">
            <w:pPr>
              <w:pStyle w:val="NoSpacing"/>
              <w:rPr>
                <w:rFonts w:ascii="Arial" w:hAnsi="Arial" w:cs="Arial"/>
                <w:sz w:val="20"/>
                <w:szCs w:val="20"/>
                <w:lang w:eastAsia="en-GB"/>
              </w:rPr>
            </w:pPr>
            <w:r w:rsidRPr="001F372C">
              <w:rPr>
                <w:rFonts w:ascii="Arial" w:hAnsi="Arial" w:cs="Arial"/>
                <w:sz w:val="20"/>
                <w:szCs w:val="20"/>
                <w:lang w:eastAsia="en-GB"/>
              </w:rPr>
              <w:t xml:space="preserve">All non-remote casino, adult gaming centre, bingo, family entertainment centre, betting and remote betting intermediary (trading room only) licences, except non-remote general betting (limited) and betting intermediary licences. </w:t>
            </w:r>
          </w:p>
          <w:p w14:paraId="5346D237" w14:textId="77777777" w:rsidR="007C4FB4" w:rsidRPr="001F372C" w:rsidRDefault="007C4FB4" w:rsidP="007C4FB4">
            <w:pPr>
              <w:pStyle w:val="NoSpacing"/>
              <w:rPr>
                <w:rFonts w:ascii="Arial" w:hAnsi="Arial" w:cs="Arial"/>
                <w:sz w:val="20"/>
                <w:szCs w:val="20"/>
                <w:lang w:eastAsia="en-GB"/>
              </w:rPr>
            </w:pPr>
          </w:p>
          <w:p w14:paraId="5346D238" w14:textId="77777777" w:rsidR="007C4FB4" w:rsidRDefault="007C4FB4" w:rsidP="007C4FB4">
            <w:pPr>
              <w:pStyle w:val="NoSpacing"/>
              <w:rPr>
                <w:rFonts w:ascii="Arial" w:hAnsi="Arial" w:cs="Arial"/>
                <w:sz w:val="20"/>
                <w:szCs w:val="20"/>
                <w:lang w:eastAsia="en-GB"/>
              </w:rPr>
            </w:pPr>
            <w:r w:rsidRPr="001F372C">
              <w:rPr>
                <w:rFonts w:ascii="Arial" w:hAnsi="Arial" w:cs="Arial"/>
                <w:sz w:val="20"/>
                <w:szCs w:val="20"/>
                <w:lang w:eastAsia="en-GB"/>
              </w:rPr>
              <w:t xml:space="preserve">1 Licensees must assess the local risks to the licensing objectives posed by the provision of gambling facilities at each of their premises, and have policies, procedures and control measures to mitigate those risks. In making risk assessments, licensees must take into account relevant matters identified in the licensing authority’s statement of licensing policy. </w:t>
            </w:r>
          </w:p>
          <w:p w14:paraId="5346D239" w14:textId="77777777" w:rsidR="007C4FB4" w:rsidRPr="001F372C" w:rsidRDefault="007C4FB4" w:rsidP="007C4FB4">
            <w:pPr>
              <w:pStyle w:val="NoSpacing"/>
              <w:rPr>
                <w:rFonts w:ascii="Arial" w:hAnsi="Arial" w:cs="Arial"/>
                <w:sz w:val="20"/>
                <w:szCs w:val="20"/>
                <w:lang w:eastAsia="en-GB"/>
              </w:rPr>
            </w:pPr>
          </w:p>
          <w:p w14:paraId="5346D23A" w14:textId="77777777" w:rsidR="007C4FB4" w:rsidRPr="001F372C" w:rsidRDefault="007C4FB4" w:rsidP="007C4FB4">
            <w:pPr>
              <w:pStyle w:val="NoSpacing"/>
              <w:rPr>
                <w:rFonts w:ascii="Arial" w:hAnsi="Arial" w:cs="Arial"/>
                <w:sz w:val="20"/>
                <w:szCs w:val="20"/>
                <w:lang w:eastAsia="en-GB"/>
              </w:rPr>
            </w:pPr>
            <w:r w:rsidRPr="001F372C">
              <w:rPr>
                <w:rFonts w:ascii="Arial" w:hAnsi="Arial" w:cs="Arial"/>
                <w:sz w:val="20"/>
                <w:szCs w:val="20"/>
                <w:lang w:eastAsia="en-GB"/>
              </w:rPr>
              <w:t>2 Licensees must review (and update as necessary) their local risk assessments:</w:t>
            </w:r>
          </w:p>
          <w:p w14:paraId="5346D23B" w14:textId="77777777" w:rsidR="007C4FB4" w:rsidRPr="001F372C" w:rsidRDefault="007C4FB4" w:rsidP="007C4FB4">
            <w:pPr>
              <w:pStyle w:val="NoSpacing"/>
              <w:numPr>
                <w:ilvl w:val="0"/>
                <w:numId w:val="1"/>
              </w:numPr>
              <w:rPr>
                <w:rFonts w:ascii="Arial" w:hAnsi="Arial" w:cs="Arial"/>
                <w:sz w:val="20"/>
                <w:szCs w:val="20"/>
                <w:lang w:eastAsia="en-GB"/>
              </w:rPr>
            </w:pPr>
            <w:r w:rsidRPr="001F372C">
              <w:rPr>
                <w:rFonts w:ascii="Arial" w:hAnsi="Arial" w:cs="Arial"/>
                <w:sz w:val="20"/>
                <w:szCs w:val="20"/>
                <w:lang w:eastAsia="en-GB"/>
              </w:rPr>
              <w:t xml:space="preserve">to take account of significant changes in local circumstances, including those identified in a licensing authority’s statement of licensing policy; </w:t>
            </w:r>
          </w:p>
          <w:p w14:paraId="5346D23C" w14:textId="77777777" w:rsidR="007C4FB4" w:rsidRPr="001F372C" w:rsidRDefault="007C4FB4" w:rsidP="007C4FB4">
            <w:pPr>
              <w:pStyle w:val="NoSpacing"/>
              <w:numPr>
                <w:ilvl w:val="0"/>
                <w:numId w:val="1"/>
              </w:numPr>
              <w:rPr>
                <w:rFonts w:ascii="Arial" w:hAnsi="Arial" w:cs="Arial"/>
                <w:sz w:val="20"/>
                <w:szCs w:val="20"/>
                <w:lang w:eastAsia="en-GB"/>
              </w:rPr>
            </w:pPr>
            <w:r w:rsidRPr="001F372C">
              <w:rPr>
                <w:rFonts w:ascii="Arial" w:hAnsi="Arial" w:cs="Arial"/>
                <w:sz w:val="20"/>
                <w:szCs w:val="20"/>
                <w:lang w:eastAsia="en-GB"/>
              </w:rPr>
              <w:t xml:space="preserve">when there are significant changes at a licensee’s premises that may affect their mitigation of local risks; </w:t>
            </w:r>
          </w:p>
          <w:p w14:paraId="5346D23D" w14:textId="77777777" w:rsidR="007C4FB4" w:rsidRPr="001F372C" w:rsidRDefault="007C4FB4" w:rsidP="007C4FB4">
            <w:pPr>
              <w:pStyle w:val="NoSpacing"/>
              <w:numPr>
                <w:ilvl w:val="0"/>
                <w:numId w:val="1"/>
              </w:numPr>
              <w:rPr>
                <w:rFonts w:ascii="Arial" w:hAnsi="Arial" w:cs="Arial"/>
                <w:sz w:val="20"/>
                <w:szCs w:val="20"/>
                <w:lang w:eastAsia="en-GB"/>
              </w:rPr>
            </w:pPr>
            <w:r w:rsidRPr="001F372C">
              <w:rPr>
                <w:rFonts w:ascii="Arial" w:hAnsi="Arial" w:cs="Arial"/>
                <w:sz w:val="20"/>
                <w:szCs w:val="20"/>
                <w:lang w:eastAsia="en-GB"/>
              </w:rPr>
              <w:t>when applying for a variation of a premises licence; and</w:t>
            </w:r>
          </w:p>
          <w:p w14:paraId="5346D23E" w14:textId="77777777" w:rsidR="007C4FB4" w:rsidRPr="001F372C" w:rsidRDefault="007C4FB4" w:rsidP="007C4FB4">
            <w:pPr>
              <w:pStyle w:val="NoSpacing"/>
              <w:numPr>
                <w:ilvl w:val="0"/>
                <w:numId w:val="1"/>
              </w:numPr>
              <w:rPr>
                <w:rFonts w:ascii="Arial" w:hAnsi="Arial" w:cs="Arial"/>
                <w:sz w:val="20"/>
                <w:szCs w:val="20"/>
                <w:lang w:eastAsia="en-GB"/>
              </w:rPr>
            </w:pPr>
            <w:r w:rsidRPr="001F372C">
              <w:rPr>
                <w:rFonts w:ascii="Arial" w:hAnsi="Arial" w:cs="Arial"/>
                <w:sz w:val="20"/>
                <w:szCs w:val="20"/>
                <w:lang w:eastAsia="en-GB"/>
              </w:rPr>
              <w:t xml:space="preserve">in any case, undertake a local risk assessment when applying for a new premises licence. </w:t>
            </w:r>
          </w:p>
          <w:p w14:paraId="5346D23F" w14:textId="77777777" w:rsidR="007C4FB4" w:rsidRPr="007C4FB4" w:rsidRDefault="007C4FB4" w:rsidP="007C4FB4">
            <w:pPr>
              <w:pStyle w:val="NoSpacing"/>
              <w:rPr>
                <w:rFonts w:ascii="Arial" w:hAnsi="Arial" w:cs="Arial"/>
                <w:sz w:val="20"/>
                <w:szCs w:val="20"/>
              </w:rPr>
            </w:pPr>
          </w:p>
        </w:tc>
      </w:tr>
    </w:tbl>
    <w:p w14:paraId="5346D241" w14:textId="77777777" w:rsidR="001F372C" w:rsidRDefault="001F372C" w:rsidP="003F6923">
      <w:pPr>
        <w:pStyle w:val="NoSpacing"/>
        <w:rPr>
          <w:rFonts w:ascii="Arial" w:hAnsi="Arial" w:cs="Arial"/>
          <w:sz w:val="20"/>
          <w:szCs w:val="20"/>
        </w:rPr>
      </w:pPr>
    </w:p>
    <w:p w14:paraId="5346D242" w14:textId="77777777" w:rsidR="00D40FB8" w:rsidRDefault="00D40FB8" w:rsidP="003F6923">
      <w:pPr>
        <w:pStyle w:val="NoSpacing"/>
        <w:rPr>
          <w:rFonts w:ascii="Arial" w:hAnsi="Arial" w:cs="Arial"/>
          <w:sz w:val="20"/>
          <w:szCs w:val="20"/>
        </w:rPr>
      </w:pPr>
    </w:p>
    <w:p w14:paraId="5346D243" w14:textId="77777777" w:rsidR="00956395" w:rsidRPr="00D40FB8" w:rsidRDefault="003401C0" w:rsidP="003F6923">
      <w:pPr>
        <w:pStyle w:val="NoSpacing"/>
        <w:rPr>
          <w:rFonts w:ascii="Arial" w:hAnsi="Arial" w:cs="Arial"/>
          <w:color w:val="FF0000"/>
          <w:sz w:val="20"/>
          <w:szCs w:val="20"/>
        </w:rPr>
      </w:pPr>
      <w:r>
        <w:rPr>
          <w:rFonts w:ascii="Arial" w:hAnsi="Arial" w:cs="Arial"/>
          <w:sz w:val="20"/>
          <w:szCs w:val="20"/>
        </w:rPr>
        <w:t>In essence, all premises that provide facilities for gambling must be assessed to identify any local risks posed by the provision of gambling facilities in their local area.</w:t>
      </w:r>
      <w:r w:rsidR="00956395">
        <w:rPr>
          <w:rFonts w:ascii="Arial" w:hAnsi="Arial" w:cs="Arial"/>
          <w:sz w:val="20"/>
          <w:szCs w:val="20"/>
        </w:rPr>
        <w:t xml:space="preserve"> </w:t>
      </w:r>
      <w:r w:rsidR="00D378B2">
        <w:rPr>
          <w:rFonts w:ascii="Arial" w:hAnsi="Arial" w:cs="Arial"/>
          <w:sz w:val="20"/>
          <w:szCs w:val="20"/>
        </w:rPr>
        <w:t>Operators should carry out a</w:t>
      </w:r>
      <w:r w:rsidR="00956395">
        <w:rPr>
          <w:rFonts w:ascii="Arial" w:hAnsi="Arial" w:cs="Arial"/>
          <w:sz w:val="20"/>
          <w:szCs w:val="20"/>
        </w:rPr>
        <w:t>ssessments for;</w:t>
      </w:r>
      <w:r w:rsidR="00D40FB8">
        <w:rPr>
          <w:rFonts w:ascii="Arial" w:hAnsi="Arial" w:cs="Arial"/>
          <w:sz w:val="20"/>
          <w:szCs w:val="20"/>
        </w:rPr>
        <w:t xml:space="preserve"> </w:t>
      </w:r>
    </w:p>
    <w:p w14:paraId="5346D244" w14:textId="77777777" w:rsidR="00D40FB8" w:rsidRDefault="00D40FB8" w:rsidP="003F6923">
      <w:pPr>
        <w:pStyle w:val="NoSpacing"/>
        <w:rPr>
          <w:rFonts w:ascii="Arial" w:hAnsi="Arial" w:cs="Arial"/>
          <w:sz w:val="20"/>
          <w:szCs w:val="20"/>
        </w:rPr>
      </w:pPr>
    </w:p>
    <w:p w14:paraId="5346D245" w14:textId="77777777" w:rsidR="00956395" w:rsidRPr="00956395" w:rsidRDefault="00956395" w:rsidP="00956395">
      <w:pPr>
        <w:pStyle w:val="NoSpacing"/>
        <w:numPr>
          <w:ilvl w:val="0"/>
          <w:numId w:val="3"/>
        </w:numPr>
        <w:rPr>
          <w:rFonts w:ascii="Arial" w:hAnsi="Arial" w:cs="Arial"/>
          <w:b/>
          <w:sz w:val="20"/>
          <w:szCs w:val="20"/>
        </w:rPr>
      </w:pPr>
      <w:r w:rsidRPr="00956395">
        <w:rPr>
          <w:rFonts w:ascii="Arial" w:hAnsi="Arial" w:cs="Arial"/>
          <w:b/>
          <w:sz w:val="20"/>
          <w:szCs w:val="20"/>
        </w:rPr>
        <w:t>New Premises Licence applications</w:t>
      </w:r>
    </w:p>
    <w:p w14:paraId="5346D246" w14:textId="77777777" w:rsidR="00956395" w:rsidRPr="00956395" w:rsidRDefault="00956395" w:rsidP="00956395">
      <w:pPr>
        <w:pStyle w:val="NoSpacing"/>
        <w:ind w:left="410"/>
        <w:rPr>
          <w:rFonts w:ascii="Arial" w:hAnsi="Arial" w:cs="Arial"/>
          <w:sz w:val="20"/>
          <w:szCs w:val="20"/>
          <w:lang w:eastAsia="en-GB"/>
        </w:rPr>
      </w:pPr>
      <w:r w:rsidRPr="00956395">
        <w:rPr>
          <w:rFonts w:ascii="Arial" w:hAnsi="Arial" w:cs="Arial"/>
          <w:sz w:val="20"/>
          <w:szCs w:val="20"/>
          <w:lang w:eastAsia="en-GB"/>
        </w:rPr>
        <w:t xml:space="preserve">If an operator intends to apply for a new premises licence under Part 8 of the Act then a local risk assessment must be carried out as required by the Commissions LCCP social responsibility code provision 10.1.1. That assessment should be based on how the premises are proposed to </w:t>
      </w:r>
      <w:r>
        <w:rPr>
          <w:rFonts w:ascii="Arial" w:hAnsi="Arial" w:cs="Arial"/>
          <w:sz w:val="20"/>
          <w:szCs w:val="20"/>
          <w:lang w:eastAsia="en-GB"/>
        </w:rPr>
        <w:t>o</w:t>
      </w:r>
      <w:r w:rsidRPr="00956395">
        <w:rPr>
          <w:rFonts w:ascii="Arial" w:hAnsi="Arial" w:cs="Arial"/>
          <w:sz w:val="20"/>
          <w:szCs w:val="20"/>
          <w:lang w:eastAsia="en-GB"/>
        </w:rPr>
        <w:t>perate at the premises location and must take into account the local area. The completed assessment should be provided with the application for a new premises licence upon submission to the Licensing Authority.</w:t>
      </w:r>
    </w:p>
    <w:p w14:paraId="5346D247" w14:textId="77777777" w:rsidR="00956395" w:rsidRPr="00956395" w:rsidRDefault="00956395" w:rsidP="00956395">
      <w:pPr>
        <w:pStyle w:val="NoSpacing"/>
        <w:ind w:left="770"/>
        <w:rPr>
          <w:rFonts w:ascii="Arial" w:hAnsi="Arial" w:cs="Arial"/>
          <w:sz w:val="20"/>
          <w:szCs w:val="20"/>
        </w:rPr>
      </w:pPr>
    </w:p>
    <w:p w14:paraId="5346D248" w14:textId="77777777" w:rsidR="001F372C" w:rsidRPr="00956395" w:rsidRDefault="00956395" w:rsidP="00956395">
      <w:pPr>
        <w:pStyle w:val="NoSpacing"/>
        <w:numPr>
          <w:ilvl w:val="0"/>
          <w:numId w:val="3"/>
        </w:numPr>
        <w:rPr>
          <w:rFonts w:ascii="Arial" w:hAnsi="Arial" w:cs="Arial"/>
          <w:b/>
          <w:sz w:val="20"/>
          <w:szCs w:val="20"/>
        </w:rPr>
      </w:pPr>
      <w:r w:rsidRPr="00956395">
        <w:rPr>
          <w:rFonts w:ascii="Arial" w:hAnsi="Arial" w:cs="Arial"/>
          <w:b/>
          <w:sz w:val="20"/>
          <w:szCs w:val="20"/>
        </w:rPr>
        <w:t>Premises situated in an area where significant changes occur</w:t>
      </w:r>
    </w:p>
    <w:p w14:paraId="5346D249" w14:textId="77777777" w:rsidR="00552BD1" w:rsidRDefault="00956395" w:rsidP="00956395">
      <w:pPr>
        <w:pStyle w:val="NoSpacing"/>
        <w:ind w:left="410"/>
        <w:rPr>
          <w:rFonts w:ascii="Arial" w:hAnsi="Arial" w:cs="Arial"/>
          <w:sz w:val="20"/>
          <w:szCs w:val="20"/>
          <w:lang w:eastAsia="en-GB"/>
        </w:rPr>
      </w:pPr>
      <w:r w:rsidRPr="00956395">
        <w:rPr>
          <w:rFonts w:ascii="Arial" w:hAnsi="Arial" w:cs="Arial"/>
          <w:sz w:val="20"/>
          <w:szCs w:val="20"/>
          <w:lang w:eastAsia="en-GB"/>
        </w:rPr>
        <w:t>Operators are required to review their local risk assessment if significant changes in local circumstances occur. Changes to local circumstances happen frequently and can be either temporary or permanent</w:t>
      </w:r>
      <w:r>
        <w:rPr>
          <w:rFonts w:ascii="Arial" w:hAnsi="Arial" w:cs="Arial"/>
          <w:sz w:val="20"/>
          <w:szCs w:val="20"/>
          <w:lang w:eastAsia="en-GB"/>
        </w:rPr>
        <w:t xml:space="preserve"> </w:t>
      </w:r>
      <w:r w:rsidRPr="00956395">
        <w:rPr>
          <w:rFonts w:ascii="Arial" w:hAnsi="Arial" w:cs="Arial"/>
          <w:sz w:val="20"/>
          <w:szCs w:val="20"/>
          <w:lang w:eastAsia="en-GB"/>
        </w:rPr>
        <w:t xml:space="preserve">depending on the change, how long that change will remain in place and how it affects the local area. However, the requirement for review of the risk assessment is only applicable when that change is significant. </w:t>
      </w:r>
    </w:p>
    <w:p w14:paraId="5346D24A" w14:textId="77777777" w:rsidR="00552BD1" w:rsidRDefault="00552BD1" w:rsidP="00956395">
      <w:pPr>
        <w:pStyle w:val="NoSpacing"/>
        <w:ind w:left="410"/>
        <w:rPr>
          <w:rFonts w:ascii="Arial" w:hAnsi="Arial" w:cs="Arial"/>
          <w:sz w:val="20"/>
          <w:szCs w:val="20"/>
          <w:lang w:eastAsia="en-GB"/>
        </w:rPr>
      </w:pPr>
    </w:p>
    <w:p w14:paraId="5346D24B" w14:textId="77777777" w:rsidR="00552BD1" w:rsidRPr="00552BD1" w:rsidRDefault="00552BD1" w:rsidP="00552BD1">
      <w:pPr>
        <w:pStyle w:val="NoSpacing"/>
        <w:ind w:left="410"/>
        <w:rPr>
          <w:rFonts w:ascii="Arial" w:hAnsi="Arial" w:cs="Arial"/>
          <w:sz w:val="20"/>
          <w:szCs w:val="20"/>
          <w:lang w:eastAsia="en-GB"/>
        </w:rPr>
      </w:pPr>
      <w:r w:rsidRPr="00552BD1">
        <w:rPr>
          <w:rFonts w:ascii="Arial" w:hAnsi="Arial" w:cs="Arial"/>
          <w:sz w:val="20"/>
          <w:szCs w:val="20"/>
          <w:lang w:eastAsia="en-GB"/>
        </w:rPr>
        <w:t>The review of the premises risk assessment may simply mean that after review no action is necessary as the measures and systems already in place will mitigate any risk associated with that significant change.  In this case gambling operators may record that a review has taken place, why it had occurred and that no action was necessary.  This would enable the gambling operator to maintain an appropriate audit trail so as to demonstrate that action had been taken.</w:t>
      </w:r>
    </w:p>
    <w:p w14:paraId="5346D24C" w14:textId="77777777" w:rsidR="00552BD1" w:rsidRPr="00552BD1" w:rsidRDefault="00552BD1" w:rsidP="00552BD1">
      <w:pPr>
        <w:pStyle w:val="NoSpacing"/>
        <w:ind w:left="410"/>
        <w:rPr>
          <w:rFonts w:ascii="Arial" w:hAnsi="Arial" w:cs="Arial"/>
          <w:sz w:val="20"/>
          <w:szCs w:val="20"/>
          <w:lang w:eastAsia="en-GB"/>
        </w:rPr>
      </w:pPr>
    </w:p>
    <w:p w14:paraId="5346D24D" w14:textId="77777777" w:rsidR="00552BD1" w:rsidRDefault="00552BD1" w:rsidP="00552BD1">
      <w:pPr>
        <w:pStyle w:val="NoSpacing"/>
        <w:ind w:left="410"/>
        <w:rPr>
          <w:rFonts w:ascii="Arial" w:hAnsi="Arial" w:cs="Arial"/>
          <w:sz w:val="20"/>
          <w:szCs w:val="20"/>
          <w:lang w:eastAsia="en-GB"/>
        </w:rPr>
      </w:pPr>
      <w:r w:rsidRPr="00552BD1">
        <w:rPr>
          <w:rFonts w:ascii="Arial" w:hAnsi="Arial" w:cs="Arial"/>
          <w:sz w:val="20"/>
          <w:szCs w:val="20"/>
          <w:lang w:eastAsia="en-GB"/>
        </w:rPr>
        <w:t xml:space="preserve">However, on occasions the significant change in local circumstances may require a need to update and amend the existing risk assessment.  In those cases gambling operators may wish to ensure that their assessments are updated adequately and that any relevant control measures are introduced correctly.       </w:t>
      </w:r>
    </w:p>
    <w:p w14:paraId="5346D24E" w14:textId="77777777" w:rsidR="00552BD1" w:rsidRDefault="00552BD1" w:rsidP="00552BD1">
      <w:pPr>
        <w:pStyle w:val="NoSpacing"/>
        <w:ind w:left="410"/>
        <w:rPr>
          <w:rFonts w:ascii="Arial" w:hAnsi="Arial" w:cs="Arial"/>
          <w:sz w:val="20"/>
          <w:szCs w:val="20"/>
          <w:lang w:eastAsia="en-GB"/>
        </w:rPr>
      </w:pPr>
    </w:p>
    <w:p w14:paraId="5346D24F" w14:textId="77777777" w:rsidR="00956395" w:rsidRPr="00956395" w:rsidRDefault="00956395" w:rsidP="00956395">
      <w:pPr>
        <w:pStyle w:val="NoSpacing"/>
        <w:ind w:left="410"/>
        <w:rPr>
          <w:rFonts w:ascii="Arial" w:hAnsi="Arial" w:cs="Arial"/>
          <w:sz w:val="20"/>
          <w:szCs w:val="20"/>
          <w:lang w:eastAsia="en-GB"/>
        </w:rPr>
      </w:pPr>
      <w:r>
        <w:rPr>
          <w:rFonts w:ascii="Arial" w:hAnsi="Arial" w:cs="Arial"/>
          <w:sz w:val="20"/>
          <w:szCs w:val="20"/>
          <w:lang w:eastAsia="en-GB"/>
        </w:rPr>
        <w:t xml:space="preserve">The Gambling Commission has not set out what a ‘significant change’ means, therefore it is the </w:t>
      </w:r>
      <w:r w:rsidR="00820D83">
        <w:rPr>
          <w:rFonts w:ascii="Arial" w:hAnsi="Arial" w:cs="Arial"/>
          <w:sz w:val="20"/>
          <w:szCs w:val="20"/>
          <w:lang w:eastAsia="en-GB"/>
        </w:rPr>
        <w:t>operator’s</w:t>
      </w:r>
      <w:r>
        <w:rPr>
          <w:rFonts w:ascii="Arial" w:hAnsi="Arial" w:cs="Arial"/>
          <w:sz w:val="20"/>
          <w:szCs w:val="20"/>
          <w:lang w:eastAsia="en-GB"/>
        </w:rPr>
        <w:t xml:space="preserve"> responsibility to identify this and review the risk assessment accordingly. </w:t>
      </w:r>
    </w:p>
    <w:p w14:paraId="5346D250" w14:textId="77777777" w:rsidR="00956395" w:rsidRPr="00956395" w:rsidRDefault="00956395" w:rsidP="00956395">
      <w:pPr>
        <w:pStyle w:val="NoSpacing"/>
        <w:ind w:left="770"/>
        <w:rPr>
          <w:rFonts w:ascii="Arial" w:hAnsi="Arial" w:cs="Arial"/>
          <w:sz w:val="20"/>
          <w:szCs w:val="20"/>
        </w:rPr>
      </w:pPr>
    </w:p>
    <w:p w14:paraId="5346D251" w14:textId="77777777" w:rsidR="00956395" w:rsidRPr="00E9595C" w:rsidRDefault="00956395" w:rsidP="00956395">
      <w:pPr>
        <w:pStyle w:val="NoSpacing"/>
        <w:numPr>
          <w:ilvl w:val="0"/>
          <w:numId w:val="3"/>
        </w:numPr>
        <w:rPr>
          <w:rFonts w:ascii="Arial" w:hAnsi="Arial" w:cs="Arial"/>
          <w:b/>
          <w:sz w:val="20"/>
          <w:szCs w:val="20"/>
        </w:rPr>
      </w:pPr>
      <w:r w:rsidRPr="00E9595C">
        <w:rPr>
          <w:rFonts w:ascii="Arial" w:hAnsi="Arial" w:cs="Arial"/>
          <w:b/>
          <w:sz w:val="20"/>
          <w:szCs w:val="20"/>
        </w:rPr>
        <w:t>Premises where significant changes occur</w:t>
      </w:r>
    </w:p>
    <w:p w14:paraId="5346D252" w14:textId="77777777" w:rsidR="00630847" w:rsidRDefault="00D44798" w:rsidP="00E9595C">
      <w:pPr>
        <w:pStyle w:val="NoSpacing"/>
        <w:ind w:left="410"/>
        <w:rPr>
          <w:rFonts w:ascii="Arial" w:hAnsi="Arial" w:cs="Arial"/>
          <w:sz w:val="20"/>
          <w:szCs w:val="20"/>
          <w:lang w:eastAsia="en-GB"/>
        </w:rPr>
      </w:pPr>
      <w:r w:rsidRPr="00E9595C">
        <w:rPr>
          <w:rFonts w:ascii="Arial" w:hAnsi="Arial" w:cs="Arial"/>
          <w:sz w:val="20"/>
          <w:szCs w:val="20"/>
          <w:lang w:eastAsia="en-GB"/>
        </w:rPr>
        <w:t xml:space="preserve">From time to time operators will undertake a refresh of the premises' layout and décor, which is unlikely to prompt a review of the risk assessment for that premises. However, where there is a significant change at the premises that may affect the mitigation of local risks, then an operator </w:t>
      </w:r>
      <w:r w:rsidRPr="00E9595C">
        <w:rPr>
          <w:rFonts w:ascii="Arial" w:hAnsi="Arial" w:cs="Arial"/>
          <w:sz w:val="20"/>
          <w:szCs w:val="20"/>
          <w:lang w:eastAsia="en-GB"/>
        </w:rPr>
        <w:lastRenderedPageBreak/>
        <w:t xml:space="preserve">must review its risk assessment and if necessary update it, taking into account the change and how it may affect one or more of the licensing objectives. </w:t>
      </w:r>
    </w:p>
    <w:p w14:paraId="5346D253" w14:textId="77777777" w:rsidR="00630847" w:rsidRDefault="00630847" w:rsidP="00E9595C">
      <w:pPr>
        <w:pStyle w:val="NoSpacing"/>
        <w:ind w:left="410"/>
        <w:rPr>
          <w:rFonts w:ascii="Arial" w:hAnsi="Arial" w:cs="Arial"/>
          <w:sz w:val="20"/>
          <w:szCs w:val="20"/>
          <w:lang w:eastAsia="en-GB"/>
        </w:rPr>
      </w:pPr>
    </w:p>
    <w:p w14:paraId="5346D254" w14:textId="77777777" w:rsidR="00E9595C" w:rsidRPr="00E9595C" w:rsidRDefault="00E9595C" w:rsidP="00E9595C">
      <w:pPr>
        <w:pStyle w:val="NoSpacing"/>
        <w:ind w:left="410"/>
        <w:rPr>
          <w:rFonts w:ascii="Arial" w:hAnsi="Arial" w:cs="Arial"/>
          <w:sz w:val="20"/>
          <w:szCs w:val="20"/>
          <w:lang w:eastAsia="en-GB"/>
        </w:rPr>
      </w:pPr>
      <w:r w:rsidRPr="00E9595C">
        <w:rPr>
          <w:rFonts w:ascii="Arial" w:hAnsi="Arial" w:cs="Arial"/>
          <w:sz w:val="20"/>
          <w:szCs w:val="20"/>
          <w:lang w:eastAsia="en-GB"/>
        </w:rPr>
        <w:t xml:space="preserve">It is expected that gambling operators will undertake this risk assessment process as a matter of course for any premises refit, changes to layout or internal control measures. If any changes do require a review of the risk assessments for that premises gambling operators should ensure that they have a system in place to record and action any measures identified in that review. </w:t>
      </w:r>
    </w:p>
    <w:p w14:paraId="5346D255" w14:textId="77777777" w:rsidR="00D44798" w:rsidRPr="00D44798" w:rsidRDefault="00D44798" w:rsidP="00E9595C">
      <w:pPr>
        <w:pStyle w:val="NoSpacing"/>
        <w:ind w:left="410"/>
        <w:rPr>
          <w:rFonts w:ascii="Arial" w:hAnsi="Arial" w:cs="Arial"/>
          <w:sz w:val="20"/>
          <w:szCs w:val="20"/>
          <w:lang w:eastAsia="en-GB"/>
        </w:rPr>
      </w:pPr>
    </w:p>
    <w:p w14:paraId="5346D256" w14:textId="77777777" w:rsidR="00956395" w:rsidRPr="00D40FB8" w:rsidRDefault="00956395" w:rsidP="00956395">
      <w:pPr>
        <w:pStyle w:val="NoSpacing"/>
        <w:numPr>
          <w:ilvl w:val="0"/>
          <w:numId w:val="3"/>
        </w:numPr>
        <w:rPr>
          <w:rFonts w:ascii="Arial" w:hAnsi="Arial" w:cs="Arial"/>
          <w:b/>
          <w:sz w:val="20"/>
          <w:szCs w:val="20"/>
        </w:rPr>
      </w:pPr>
      <w:r w:rsidRPr="00D40FB8">
        <w:rPr>
          <w:rFonts w:ascii="Arial" w:hAnsi="Arial" w:cs="Arial"/>
          <w:b/>
          <w:sz w:val="20"/>
          <w:szCs w:val="20"/>
        </w:rPr>
        <w:t>Variation to the Premises Licence</w:t>
      </w:r>
    </w:p>
    <w:p w14:paraId="5346D257" w14:textId="77777777" w:rsidR="00630847" w:rsidRDefault="00D40FB8" w:rsidP="00D40FB8">
      <w:pPr>
        <w:pStyle w:val="NoSpacing"/>
        <w:ind w:left="410"/>
        <w:rPr>
          <w:rFonts w:ascii="Arial" w:hAnsi="Arial" w:cs="Arial"/>
          <w:sz w:val="20"/>
          <w:szCs w:val="20"/>
          <w:lang w:eastAsia="en-GB"/>
        </w:rPr>
      </w:pPr>
      <w:r w:rsidRPr="00D40FB8">
        <w:rPr>
          <w:rFonts w:ascii="Arial" w:hAnsi="Arial" w:cs="Arial"/>
          <w:sz w:val="20"/>
          <w:szCs w:val="20"/>
          <w:lang w:eastAsia="en-GB"/>
        </w:rPr>
        <w:t xml:space="preserve">Variations to premises licences are only those required to be made under section 187 of the Act and will not include changes of circumstances such as a change of premises' name or a change of licensee's address, etc. </w:t>
      </w:r>
    </w:p>
    <w:p w14:paraId="5346D258" w14:textId="77777777" w:rsidR="00630847" w:rsidRDefault="00630847" w:rsidP="00D40FB8">
      <w:pPr>
        <w:pStyle w:val="NoSpacing"/>
        <w:ind w:left="410"/>
        <w:rPr>
          <w:rFonts w:ascii="Arial" w:hAnsi="Arial" w:cs="Arial"/>
          <w:sz w:val="20"/>
          <w:szCs w:val="20"/>
          <w:lang w:eastAsia="en-GB"/>
        </w:rPr>
      </w:pPr>
    </w:p>
    <w:p w14:paraId="5346D259" w14:textId="77777777" w:rsidR="00D40FB8" w:rsidRDefault="00D40FB8" w:rsidP="00D40FB8">
      <w:pPr>
        <w:pStyle w:val="NoSpacing"/>
        <w:ind w:left="410"/>
        <w:rPr>
          <w:rFonts w:ascii="Arial" w:hAnsi="Arial" w:cs="Arial"/>
          <w:sz w:val="20"/>
          <w:szCs w:val="20"/>
          <w:lang w:eastAsia="en-GB"/>
        </w:rPr>
      </w:pPr>
      <w:r w:rsidRPr="00D40FB8">
        <w:rPr>
          <w:rFonts w:ascii="Arial" w:hAnsi="Arial" w:cs="Arial"/>
          <w:sz w:val="20"/>
          <w:szCs w:val="20"/>
          <w:lang w:eastAsia="en-GB"/>
        </w:rPr>
        <w:t xml:space="preserve">The Commissions LCCP social responsibility code provision 10.1.1 requires that gambling operators must undertake a review of the local risk assessment and update it if necessary when preparing an application to vary the premises licence. Operators submitting a variation application to the Council may consider submitting a copy of the reviewed local risk assessment when submitting the application. This will then negate the need for the Council requesting to see a copy of this risk assessment and could potentially reduce the likelihood of a representation being made to the application. </w:t>
      </w:r>
    </w:p>
    <w:p w14:paraId="5346D25A" w14:textId="77777777" w:rsidR="00D40FB8" w:rsidRDefault="00D40FB8" w:rsidP="00D40FB8">
      <w:pPr>
        <w:pStyle w:val="NoSpacing"/>
        <w:ind w:left="410"/>
        <w:rPr>
          <w:rFonts w:ascii="Arial" w:hAnsi="Arial" w:cs="Arial"/>
          <w:sz w:val="20"/>
          <w:szCs w:val="20"/>
          <w:lang w:eastAsia="en-GB"/>
        </w:rPr>
      </w:pPr>
    </w:p>
    <w:p w14:paraId="5346D25B" w14:textId="77777777" w:rsidR="00D40FB8" w:rsidRPr="00D40FB8" w:rsidRDefault="00D40FB8" w:rsidP="00D40FB8">
      <w:pPr>
        <w:pStyle w:val="NoSpacing"/>
        <w:ind w:left="410"/>
        <w:rPr>
          <w:rFonts w:ascii="Arial" w:eastAsia="Times New Roman" w:hAnsi="Arial" w:cs="Arial"/>
          <w:sz w:val="20"/>
          <w:szCs w:val="20"/>
          <w:lang w:eastAsia="en-GB"/>
        </w:rPr>
      </w:pPr>
      <w:r w:rsidRPr="00D40FB8">
        <w:rPr>
          <w:rFonts w:ascii="Arial" w:eastAsia="Times New Roman" w:hAnsi="Arial" w:cs="Arial"/>
          <w:sz w:val="20"/>
          <w:szCs w:val="20"/>
          <w:lang w:eastAsia="en-GB"/>
        </w:rPr>
        <w:t>If an operator wishes to vary a converted casino premises licence from one premise to another then the gambling operator should consider producing a new risk assessment for that premises. It is advisable that a copy of that assessment is submitted to the Council with the application form.</w:t>
      </w:r>
    </w:p>
    <w:p w14:paraId="5346D25C" w14:textId="77777777" w:rsidR="00D40FB8" w:rsidRPr="00D40FB8" w:rsidRDefault="00D40FB8" w:rsidP="00D40FB8">
      <w:pPr>
        <w:pStyle w:val="NoSpacing"/>
        <w:ind w:left="410"/>
        <w:rPr>
          <w:rFonts w:ascii="Arial" w:hAnsi="Arial" w:cs="Arial"/>
          <w:sz w:val="20"/>
          <w:szCs w:val="20"/>
          <w:lang w:eastAsia="en-GB"/>
        </w:rPr>
      </w:pPr>
    </w:p>
    <w:p w14:paraId="5346D25D" w14:textId="77777777" w:rsidR="00956395" w:rsidRPr="00D40FB8" w:rsidRDefault="00147C25" w:rsidP="00A52DDD">
      <w:pPr>
        <w:pStyle w:val="NoSpacing"/>
        <w:numPr>
          <w:ilvl w:val="0"/>
          <w:numId w:val="3"/>
        </w:numPr>
        <w:rPr>
          <w:rFonts w:ascii="Arial" w:hAnsi="Arial" w:cs="Arial"/>
          <w:b/>
          <w:sz w:val="20"/>
          <w:szCs w:val="20"/>
        </w:rPr>
      </w:pPr>
      <w:r>
        <w:rPr>
          <w:rFonts w:ascii="Arial" w:hAnsi="Arial" w:cs="Arial"/>
          <w:b/>
          <w:sz w:val="20"/>
          <w:szCs w:val="20"/>
        </w:rPr>
        <w:t>R</w:t>
      </w:r>
      <w:r w:rsidR="00956395" w:rsidRPr="00D40FB8">
        <w:rPr>
          <w:rFonts w:ascii="Arial" w:hAnsi="Arial" w:cs="Arial"/>
          <w:b/>
          <w:sz w:val="20"/>
          <w:szCs w:val="20"/>
        </w:rPr>
        <w:t xml:space="preserve">egular reviews of the risk assessment </w:t>
      </w:r>
    </w:p>
    <w:p w14:paraId="5346D25E" w14:textId="77777777" w:rsidR="00630847" w:rsidRDefault="00D40FB8" w:rsidP="00D40FB8">
      <w:pPr>
        <w:pStyle w:val="NoSpacing"/>
        <w:ind w:left="410"/>
        <w:rPr>
          <w:rFonts w:ascii="Arial" w:hAnsi="Arial" w:cs="Arial"/>
          <w:sz w:val="20"/>
          <w:szCs w:val="20"/>
          <w:lang w:eastAsia="en-GB"/>
        </w:rPr>
      </w:pPr>
      <w:r w:rsidRPr="00D40FB8">
        <w:rPr>
          <w:rFonts w:ascii="Arial" w:hAnsi="Arial" w:cs="Arial"/>
          <w:sz w:val="20"/>
          <w:szCs w:val="20"/>
          <w:lang w:eastAsia="en-GB"/>
        </w:rPr>
        <w:t xml:space="preserve">As a matter of best practice the Council recommends that operators establish a regular review regime in respect of their local risk assessments. This review programme can be carried out alongside other reviews on Health and Safety risk assessments for the premises. This review programme would ensure that, regardless of whether or not any of the trigger events set out above have occurred, these risk assessments are considered at regular intervals and updated if necessary. </w:t>
      </w:r>
    </w:p>
    <w:p w14:paraId="5346D25F" w14:textId="77777777" w:rsidR="00630847" w:rsidRDefault="00630847" w:rsidP="00D40FB8">
      <w:pPr>
        <w:pStyle w:val="NoSpacing"/>
        <w:ind w:left="410"/>
        <w:rPr>
          <w:rFonts w:ascii="Arial" w:hAnsi="Arial" w:cs="Arial"/>
          <w:sz w:val="20"/>
          <w:szCs w:val="20"/>
          <w:lang w:eastAsia="en-GB"/>
        </w:rPr>
      </w:pPr>
    </w:p>
    <w:p w14:paraId="5346D260" w14:textId="77777777" w:rsidR="00D40FB8" w:rsidRDefault="00D40FB8" w:rsidP="00D40FB8">
      <w:pPr>
        <w:pStyle w:val="NoSpacing"/>
        <w:ind w:left="410"/>
        <w:rPr>
          <w:rFonts w:ascii="Arial" w:hAnsi="Arial" w:cs="Arial"/>
          <w:sz w:val="20"/>
          <w:szCs w:val="20"/>
          <w:lang w:eastAsia="en-GB"/>
        </w:rPr>
      </w:pPr>
      <w:r w:rsidRPr="00D40FB8">
        <w:rPr>
          <w:rFonts w:ascii="Arial" w:hAnsi="Arial" w:cs="Arial"/>
          <w:sz w:val="20"/>
          <w:szCs w:val="20"/>
          <w:lang w:eastAsia="en-GB"/>
        </w:rPr>
        <w:t>It will be up to the gambling operator</w:t>
      </w:r>
      <w:r>
        <w:rPr>
          <w:rFonts w:ascii="Arial" w:hAnsi="Arial" w:cs="Arial"/>
          <w:sz w:val="20"/>
          <w:szCs w:val="20"/>
          <w:lang w:eastAsia="en-GB"/>
        </w:rPr>
        <w:t xml:space="preserve"> </w:t>
      </w:r>
      <w:r w:rsidRPr="00D40FB8">
        <w:rPr>
          <w:rFonts w:ascii="Arial" w:hAnsi="Arial" w:cs="Arial"/>
          <w:sz w:val="20"/>
          <w:szCs w:val="20"/>
          <w:lang w:eastAsia="en-GB"/>
        </w:rPr>
        <w:t>as to the frequency of these reviews but it is recommended that no more than three years should pass before these assessments are reviewed.</w:t>
      </w:r>
    </w:p>
    <w:p w14:paraId="5346D261" w14:textId="77777777" w:rsidR="004921FD" w:rsidRDefault="004921FD" w:rsidP="00D40FB8">
      <w:pPr>
        <w:pStyle w:val="NoSpacing"/>
        <w:ind w:left="410"/>
        <w:rPr>
          <w:rFonts w:ascii="Arial" w:hAnsi="Arial" w:cs="Arial"/>
          <w:sz w:val="20"/>
          <w:szCs w:val="20"/>
          <w:lang w:eastAsia="en-GB"/>
        </w:rPr>
      </w:pPr>
    </w:p>
    <w:p w14:paraId="5346D262" w14:textId="77777777" w:rsidR="004921FD" w:rsidRPr="00796158" w:rsidRDefault="004921FD" w:rsidP="00796158">
      <w:pPr>
        <w:pStyle w:val="NoSpacing"/>
        <w:ind w:left="410"/>
        <w:rPr>
          <w:rFonts w:ascii="Arial" w:hAnsi="Arial" w:cs="Arial"/>
          <w:sz w:val="20"/>
          <w:szCs w:val="20"/>
        </w:rPr>
      </w:pPr>
      <w:r w:rsidRPr="00630847">
        <w:rPr>
          <w:rFonts w:ascii="Arial" w:hAnsi="Arial" w:cs="Arial"/>
          <w:sz w:val="20"/>
          <w:szCs w:val="20"/>
          <w:lang w:eastAsia="en-GB"/>
        </w:rPr>
        <w:t>To be clear howeve</w:t>
      </w:r>
      <w:r w:rsidRPr="004D5C6B">
        <w:rPr>
          <w:rFonts w:ascii="Arial" w:hAnsi="Arial" w:cs="Arial"/>
          <w:sz w:val="20"/>
          <w:szCs w:val="20"/>
          <w:lang w:eastAsia="en-GB"/>
        </w:rPr>
        <w:t xml:space="preserve">r, </w:t>
      </w:r>
      <w:r w:rsidRPr="00796158">
        <w:rPr>
          <w:rFonts w:ascii="Arial" w:hAnsi="Arial" w:cs="Arial"/>
          <w:sz w:val="20"/>
          <w:szCs w:val="20"/>
        </w:rPr>
        <w:t>this local risk assessment process is not the same as other forms of risk assessment undertaken by gambling operators, such as Health and Safety at Work, Fire Safety and Food Hygiene, etc.  These local risk assessments are specific to the potential harm that gambling premises can have on one or more of the licensing objectives under the Act.  They are specific to the premises, the local area and the local community.</w:t>
      </w:r>
    </w:p>
    <w:p w14:paraId="5346D263" w14:textId="77777777" w:rsidR="004921FD" w:rsidRDefault="004921FD" w:rsidP="00D40FB8">
      <w:pPr>
        <w:pStyle w:val="NoSpacing"/>
        <w:ind w:left="410"/>
        <w:rPr>
          <w:rFonts w:ascii="Arial" w:hAnsi="Arial" w:cs="Arial"/>
          <w:sz w:val="20"/>
          <w:szCs w:val="20"/>
          <w:lang w:eastAsia="en-GB"/>
        </w:rPr>
      </w:pPr>
    </w:p>
    <w:p w14:paraId="5346D264" w14:textId="77777777" w:rsidR="000075B8" w:rsidRPr="00D40FB8" w:rsidRDefault="000075B8" w:rsidP="00D40FB8">
      <w:pPr>
        <w:pStyle w:val="NoSpacing"/>
        <w:ind w:left="410"/>
        <w:rPr>
          <w:rFonts w:ascii="Arial" w:hAnsi="Arial" w:cs="Arial"/>
          <w:sz w:val="20"/>
          <w:szCs w:val="20"/>
          <w:lang w:eastAsia="en-GB"/>
        </w:rPr>
      </w:pPr>
      <w:r>
        <w:rPr>
          <w:rFonts w:ascii="Arial" w:hAnsi="Arial" w:cs="Arial"/>
          <w:sz w:val="20"/>
          <w:szCs w:val="20"/>
          <w:lang w:eastAsia="en-GB"/>
        </w:rPr>
        <w:t>The authority consider that it is good practice for the gambling operator to provide an updated copy of this risk assessment after any review or change to the local authority.</w:t>
      </w:r>
    </w:p>
    <w:p w14:paraId="5346D265" w14:textId="77777777" w:rsidR="00D40FB8" w:rsidRPr="00956395" w:rsidRDefault="00D40FB8" w:rsidP="00D40FB8">
      <w:pPr>
        <w:pStyle w:val="NoSpacing"/>
        <w:ind w:left="770"/>
        <w:rPr>
          <w:rFonts w:ascii="Arial" w:hAnsi="Arial" w:cs="Arial"/>
          <w:sz w:val="20"/>
          <w:szCs w:val="20"/>
        </w:rPr>
      </w:pPr>
    </w:p>
    <w:p w14:paraId="5346D266" w14:textId="77777777" w:rsidR="001A7E23" w:rsidRPr="001A7E23" w:rsidRDefault="001A7E23" w:rsidP="003F6923">
      <w:pPr>
        <w:pStyle w:val="NoSpacing"/>
        <w:rPr>
          <w:rFonts w:ascii="Arial" w:hAnsi="Arial" w:cs="Arial"/>
          <w:sz w:val="20"/>
          <w:szCs w:val="20"/>
        </w:rPr>
      </w:pPr>
    </w:p>
    <w:p w14:paraId="5346D267" w14:textId="77777777" w:rsidR="00EC5B6E" w:rsidRDefault="00EC5B6E" w:rsidP="003F6923">
      <w:pPr>
        <w:pStyle w:val="NoSpacing"/>
        <w:rPr>
          <w:rFonts w:ascii="Arial" w:hAnsi="Arial" w:cs="Arial"/>
          <w:b/>
          <w:sz w:val="20"/>
          <w:szCs w:val="20"/>
        </w:rPr>
      </w:pPr>
    </w:p>
    <w:p w14:paraId="5346D268" w14:textId="77777777" w:rsidR="00DB47ED" w:rsidRDefault="00DB47ED" w:rsidP="00DB47ED">
      <w:pPr>
        <w:pStyle w:val="NoSpacing"/>
        <w:rPr>
          <w:rFonts w:ascii="Arial" w:hAnsi="Arial" w:cs="Arial"/>
          <w:b/>
          <w:sz w:val="20"/>
          <w:szCs w:val="20"/>
        </w:rPr>
      </w:pPr>
      <w:r>
        <w:rPr>
          <w:rFonts w:ascii="Arial" w:hAnsi="Arial" w:cs="Arial"/>
          <w:b/>
          <w:sz w:val="20"/>
          <w:szCs w:val="20"/>
        </w:rPr>
        <w:t>Writing a Risk Assessment</w:t>
      </w:r>
    </w:p>
    <w:p w14:paraId="5346D269" w14:textId="77777777" w:rsidR="00DB47ED" w:rsidRDefault="00DB47ED" w:rsidP="00DB47ED">
      <w:pPr>
        <w:pStyle w:val="NoSpacing"/>
        <w:rPr>
          <w:rFonts w:ascii="Arial" w:hAnsi="Arial" w:cs="Arial"/>
          <w:b/>
          <w:sz w:val="20"/>
          <w:szCs w:val="20"/>
        </w:rPr>
      </w:pPr>
    </w:p>
    <w:p w14:paraId="5346D26A" w14:textId="77777777" w:rsidR="00DB47ED" w:rsidRDefault="00DB47ED" w:rsidP="00DB47ED">
      <w:pPr>
        <w:pStyle w:val="NoSpacing"/>
        <w:rPr>
          <w:rFonts w:ascii="Arial" w:hAnsi="Arial" w:cs="Arial"/>
          <w:sz w:val="20"/>
          <w:szCs w:val="20"/>
        </w:rPr>
      </w:pPr>
      <w:r>
        <w:rPr>
          <w:rFonts w:ascii="Arial" w:hAnsi="Arial" w:cs="Arial"/>
          <w:sz w:val="20"/>
          <w:szCs w:val="20"/>
        </w:rPr>
        <w:t>It is ultimately up to the operator to decide how to conduct the assessment, and who should conduct the assessment, although it should be taken into consideration that failure to carry out this function properly could result in a breach of the provisions of the LCCP.</w:t>
      </w:r>
    </w:p>
    <w:p w14:paraId="5346D26B" w14:textId="77777777" w:rsidR="00DB47ED" w:rsidRDefault="00DB47ED" w:rsidP="00DB47ED">
      <w:pPr>
        <w:pStyle w:val="NoSpacing"/>
        <w:rPr>
          <w:rFonts w:ascii="Arial" w:hAnsi="Arial" w:cs="Arial"/>
          <w:sz w:val="20"/>
          <w:szCs w:val="20"/>
        </w:rPr>
      </w:pPr>
    </w:p>
    <w:p w14:paraId="5346D26C" w14:textId="77777777" w:rsidR="004D5C6B" w:rsidRPr="004D5C6B" w:rsidRDefault="004D5C6B" w:rsidP="004D5C6B">
      <w:pPr>
        <w:pStyle w:val="NoSpacing"/>
        <w:rPr>
          <w:rFonts w:ascii="Arial" w:hAnsi="Arial" w:cs="Arial"/>
          <w:sz w:val="20"/>
          <w:szCs w:val="20"/>
        </w:rPr>
      </w:pPr>
      <w:r w:rsidRPr="004D5C6B">
        <w:rPr>
          <w:rFonts w:ascii="Arial" w:hAnsi="Arial" w:cs="Arial"/>
          <w:sz w:val="20"/>
          <w:szCs w:val="20"/>
        </w:rPr>
        <w:t>There are two specific parts to the risk assessment process:</w:t>
      </w:r>
    </w:p>
    <w:p w14:paraId="5346D26D" w14:textId="77777777" w:rsidR="004D5C6B" w:rsidRPr="004D5C6B" w:rsidRDefault="004D5C6B" w:rsidP="004D5C6B">
      <w:pPr>
        <w:pStyle w:val="NoSpacing"/>
        <w:rPr>
          <w:rFonts w:ascii="Arial" w:hAnsi="Arial" w:cs="Arial"/>
          <w:sz w:val="20"/>
          <w:szCs w:val="20"/>
        </w:rPr>
      </w:pPr>
    </w:p>
    <w:p w14:paraId="5346D26E" w14:textId="77777777" w:rsidR="004D5C6B" w:rsidRPr="004D5C6B" w:rsidRDefault="004D5C6B" w:rsidP="004D5C6B">
      <w:pPr>
        <w:pStyle w:val="NoSpacing"/>
        <w:rPr>
          <w:rFonts w:ascii="Arial" w:hAnsi="Arial" w:cs="Arial"/>
          <w:sz w:val="20"/>
          <w:szCs w:val="20"/>
        </w:rPr>
      </w:pPr>
      <w:r w:rsidRPr="004D5C6B">
        <w:rPr>
          <w:rFonts w:ascii="Arial" w:hAnsi="Arial" w:cs="Arial"/>
          <w:sz w:val="20"/>
          <w:szCs w:val="20"/>
        </w:rPr>
        <w:t>•</w:t>
      </w:r>
      <w:r w:rsidRPr="004D5C6B">
        <w:rPr>
          <w:rFonts w:ascii="Arial" w:hAnsi="Arial" w:cs="Arial"/>
          <w:sz w:val="20"/>
          <w:szCs w:val="20"/>
        </w:rPr>
        <w:tab/>
        <w:t xml:space="preserve">the assessment of the local risks </w:t>
      </w:r>
    </w:p>
    <w:p w14:paraId="5346D26F" w14:textId="77777777" w:rsidR="004D5C6B" w:rsidRPr="004D5C6B" w:rsidRDefault="004D5C6B" w:rsidP="004D5C6B">
      <w:pPr>
        <w:pStyle w:val="NoSpacing"/>
        <w:rPr>
          <w:rFonts w:ascii="Arial" w:hAnsi="Arial" w:cs="Arial"/>
          <w:sz w:val="20"/>
          <w:szCs w:val="20"/>
        </w:rPr>
      </w:pPr>
      <w:r w:rsidRPr="004D5C6B">
        <w:rPr>
          <w:rFonts w:ascii="Arial" w:hAnsi="Arial" w:cs="Arial"/>
          <w:sz w:val="20"/>
          <w:szCs w:val="20"/>
        </w:rPr>
        <w:t>•</w:t>
      </w:r>
      <w:r w:rsidRPr="004D5C6B">
        <w:rPr>
          <w:rFonts w:ascii="Arial" w:hAnsi="Arial" w:cs="Arial"/>
          <w:sz w:val="20"/>
          <w:szCs w:val="20"/>
        </w:rPr>
        <w:tab/>
        <w:t>the determination of appropriate mitigation to reduce those risks</w:t>
      </w:r>
    </w:p>
    <w:p w14:paraId="5346D270" w14:textId="77777777" w:rsidR="004D5C6B" w:rsidRPr="004D5C6B" w:rsidRDefault="004D5C6B" w:rsidP="004D5C6B">
      <w:pPr>
        <w:pStyle w:val="NoSpacing"/>
        <w:rPr>
          <w:rFonts w:ascii="Arial" w:hAnsi="Arial" w:cs="Arial"/>
          <w:sz w:val="20"/>
          <w:szCs w:val="20"/>
        </w:rPr>
      </w:pPr>
    </w:p>
    <w:p w14:paraId="5346D271" w14:textId="77777777" w:rsidR="004D5C6B" w:rsidRDefault="004D5C6B" w:rsidP="004D5C6B">
      <w:pPr>
        <w:pStyle w:val="NoSpacing"/>
        <w:rPr>
          <w:rFonts w:ascii="Arial" w:hAnsi="Arial" w:cs="Arial"/>
          <w:sz w:val="20"/>
          <w:szCs w:val="20"/>
        </w:rPr>
      </w:pPr>
      <w:r w:rsidRPr="004D5C6B">
        <w:rPr>
          <w:rFonts w:ascii="Arial" w:hAnsi="Arial" w:cs="Arial"/>
          <w:sz w:val="20"/>
          <w:szCs w:val="20"/>
        </w:rPr>
        <w:lastRenderedPageBreak/>
        <w:t xml:space="preserve">The risks that operators must identify relate to the potential impact a gambling premises and its operation may have on the licensing objectives.  Gambling operator should identify and list all of the local risks within the assessment that they have identified.  The level of such risks can range from being low to very high depending on the potential impact that the gambling operator has assessed it to have on the licensing objectives.  The level of any given risk will have a direct impact on the type and extent of the control measures that the gambling operators deems as being necessary to mitigate such risk. </w:t>
      </w:r>
    </w:p>
    <w:p w14:paraId="5346D272" w14:textId="77777777" w:rsidR="004D5C6B" w:rsidRDefault="004D5C6B" w:rsidP="004D5C6B">
      <w:pPr>
        <w:pStyle w:val="NoSpacing"/>
        <w:rPr>
          <w:rFonts w:ascii="Arial" w:hAnsi="Arial" w:cs="Arial"/>
          <w:sz w:val="20"/>
          <w:szCs w:val="20"/>
        </w:rPr>
      </w:pPr>
    </w:p>
    <w:p w14:paraId="5346D273" w14:textId="77777777" w:rsidR="00DB47ED" w:rsidRDefault="0077506C" w:rsidP="004D5C6B">
      <w:pPr>
        <w:pStyle w:val="NoSpacing"/>
        <w:rPr>
          <w:rFonts w:ascii="Arial" w:hAnsi="Arial" w:cs="Arial"/>
          <w:sz w:val="20"/>
          <w:szCs w:val="20"/>
        </w:rPr>
      </w:pPr>
      <w:r>
        <w:rPr>
          <w:rFonts w:ascii="Arial" w:hAnsi="Arial" w:cs="Arial"/>
          <w:sz w:val="20"/>
          <w:szCs w:val="20"/>
        </w:rPr>
        <w:t xml:space="preserve">An operator </w:t>
      </w:r>
      <w:r w:rsidR="004D5C6B">
        <w:rPr>
          <w:rFonts w:ascii="Arial" w:hAnsi="Arial" w:cs="Arial"/>
          <w:sz w:val="20"/>
          <w:szCs w:val="20"/>
        </w:rPr>
        <w:t xml:space="preserve">should </w:t>
      </w:r>
      <w:r w:rsidR="00DB47ED">
        <w:rPr>
          <w:rFonts w:ascii="Arial" w:hAnsi="Arial" w:cs="Arial"/>
          <w:sz w:val="20"/>
          <w:szCs w:val="20"/>
        </w:rPr>
        <w:t xml:space="preserve">consider </w:t>
      </w:r>
      <w:r w:rsidR="004D5C6B">
        <w:rPr>
          <w:rFonts w:ascii="Arial" w:hAnsi="Arial" w:cs="Arial"/>
          <w:sz w:val="20"/>
          <w:szCs w:val="20"/>
        </w:rPr>
        <w:t>the following factors when undertaking their local risk assessment</w:t>
      </w:r>
      <w:r w:rsidR="00DB47ED">
        <w:rPr>
          <w:rFonts w:ascii="Arial" w:hAnsi="Arial" w:cs="Arial"/>
          <w:sz w:val="20"/>
          <w:szCs w:val="20"/>
        </w:rPr>
        <w:t>;</w:t>
      </w:r>
    </w:p>
    <w:p w14:paraId="5346D274" w14:textId="77777777" w:rsidR="00DB47ED" w:rsidRDefault="00DB47ED" w:rsidP="00DB47ED">
      <w:pPr>
        <w:pStyle w:val="NoSpacing"/>
        <w:rPr>
          <w:rFonts w:ascii="Arial" w:hAnsi="Arial" w:cs="Arial"/>
          <w:sz w:val="20"/>
          <w:szCs w:val="20"/>
        </w:rPr>
      </w:pPr>
    </w:p>
    <w:p w14:paraId="5346D275" w14:textId="77777777" w:rsidR="00DB47ED" w:rsidRPr="006B0623" w:rsidRDefault="004D5C6B" w:rsidP="00DB47ED">
      <w:pPr>
        <w:pStyle w:val="NoSpacing"/>
        <w:numPr>
          <w:ilvl w:val="0"/>
          <w:numId w:val="4"/>
        </w:numPr>
        <w:rPr>
          <w:rFonts w:ascii="Arial" w:hAnsi="Arial" w:cs="Arial"/>
          <w:b/>
          <w:sz w:val="20"/>
          <w:szCs w:val="20"/>
        </w:rPr>
      </w:pPr>
      <w:r>
        <w:rPr>
          <w:rFonts w:ascii="Arial" w:hAnsi="Arial" w:cs="Arial"/>
          <w:b/>
          <w:sz w:val="20"/>
          <w:szCs w:val="20"/>
        </w:rPr>
        <w:t>Local Area Risks</w:t>
      </w:r>
    </w:p>
    <w:p w14:paraId="5346D276" w14:textId="77777777" w:rsidR="00D20163" w:rsidRDefault="00DB47ED" w:rsidP="00DB47ED">
      <w:pPr>
        <w:pStyle w:val="NoSpacing"/>
        <w:ind w:left="720"/>
        <w:rPr>
          <w:rFonts w:ascii="Arial" w:hAnsi="Arial" w:cs="Arial"/>
          <w:sz w:val="20"/>
          <w:szCs w:val="20"/>
        </w:rPr>
      </w:pPr>
      <w:r>
        <w:rPr>
          <w:rFonts w:ascii="Arial" w:hAnsi="Arial" w:cs="Arial"/>
          <w:sz w:val="20"/>
          <w:szCs w:val="20"/>
        </w:rPr>
        <w:t>The assessor could make use of local area data from the Bristol City Council profiles (situated within this document</w:t>
      </w:r>
      <w:r w:rsidR="000075B8">
        <w:rPr>
          <w:rFonts w:ascii="Arial" w:hAnsi="Arial" w:cs="Arial"/>
          <w:sz w:val="20"/>
          <w:szCs w:val="20"/>
        </w:rPr>
        <w:t xml:space="preserve"> and available on the Council’s website</w:t>
      </w:r>
      <w:r>
        <w:rPr>
          <w:rFonts w:ascii="Arial" w:hAnsi="Arial" w:cs="Arial"/>
          <w:sz w:val="20"/>
          <w:szCs w:val="20"/>
        </w:rPr>
        <w:t xml:space="preserve">), to identify potential factors for risk in the </w:t>
      </w:r>
      <w:r w:rsidR="00273A54">
        <w:rPr>
          <w:rFonts w:ascii="Arial" w:hAnsi="Arial" w:cs="Arial"/>
          <w:sz w:val="20"/>
          <w:szCs w:val="20"/>
        </w:rPr>
        <w:t xml:space="preserve">area surrounding the premises, </w:t>
      </w:r>
      <w:r>
        <w:rPr>
          <w:rFonts w:ascii="Arial" w:hAnsi="Arial" w:cs="Arial"/>
          <w:sz w:val="20"/>
          <w:szCs w:val="20"/>
        </w:rPr>
        <w:t>along with gathering an understanding of the specific characteristics of the local area, and the people who live and work there.</w:t>
      </w:r>
      <w:r w:rsidR="0077506C">
        <w:rPr>
          <w:rFonts w:ascii="Arial" w:hAnsi="Arial" w:cs="Arial"/>
          <w:sz w:val="20"/>
          <w:szCs w:val="20"/>
        </w:rPr>
        <w:t xml:space="preserve"> </w:t>
      </w:r>
    </w:p>
    <w:p w14:paraId="5346D277" w14:textId="77777777" w:rsidR="00D20163" w:rsidRDefault="00D20163" w:rsidP="00DB47ED">
      <w:pPr>
        <w:pStyle w:val="NoSpacing"/>
        <w:ind w:left="720"/>
        <w:rPr>
          <w:rFonts w:ascii="Arial" w:hAnsi="Arial" w:cs="Arial"/>
          <w:sz w:val="20"/>
          <w:szCs w:val="20"/>
        </w:rPr>
      </w:pPr>
    </w:p>
    <w:p w14:paraId="5346D278" w14:textId="77777777" w:rsidR="00DB47ED" w:rsidRDefault="0077506C" w:rsidP="00DB47ED">
      <w:pPr>
        <w:pStyle w:val="NoSpacing"/>
        <w:ind w:left="720"/>
        <w:rPr>
          <w:rFonts w:ascii="Arial" w:hAnsi="Arial" w:cs="Arial"/>
          <w:sz w:val="20"/>
          <w:szCs w:val="20"/>
        </w:rPr>
      </w:pPr>
      <w:r>
        <w:rPr>
          <w:rFonts w:ascii="Arial" w:hAnsi="Arial" w:cs="Arial"/>
          <w:sz w:val="20"/>
          <w:szCs w:val="20"/>
        </w:rPr>
        <w:t>The Council will expect the local risk assessment to consider as a minimum;</w:t>
      </w:r>
    </w:p>
    <w:p w14:paraId="5346D279" w14:textId="77777777" w:rsidR="0077506C" w:rsidRDefault="0077506C" w:rsidP="0077506C">
      <w:pPr>
        <w:pStyle w:val="NoSpacing"/>
        <w:numPr>
          <w:ilvl w:val="0"/>
          <w:numId w:val="5"/>
        </w:numPr>
        <w:rPr>
          <w:rFonts w:ascii="Arial" w:hAnsi="Arial" w:cs="Arial"/>
          <w:sz w:val="20"/>
          <w:szCs w:val="20"/>
        </w:rPr>
      </w:pPr>
      <w:r>
        <w:rPr>
          <w:rFonts w:ascii="Arial" w:hAnsi="Arial" w:cs="Arial"/>
          <w:sz w:val="20"/>
          <w:szCs w:val="20"/>
        </w:rPr>
        <w:t>The location of services for children, such as schools, playgrounds, leisure/community centres and other areas where children will gather</w:t>
      </w:r>
    </w:p>
    <w:p w14:paraId="5346D27A" w14:textId="77777777" w:rsidR="006B26B9" w:rsidRDefault="006B26B9" w:rsidP="0077506C">
      <w:pPr>
        <w:pStyle w:val="NoSpacing"/>
        <w:numPr>
          <w:ilvl w:val="0"/>
          <w:numId w:val="5"/>
        </w:numPr>
        <w:rPr>
          <w:rFonts w:ascii="Arial" w:hAnsi="Arial" w:cs="Arial"/>
          <w:sz w:val="20"/>
          <w:szCs w:val="20"/>
        </w:rPr>
      </w:pPr>
      <w:r>
        <w:rPr>
          <w:rFonts w:ascii="Arial" w:hAnsi="Arial" w:cs="Arial"/>
          <w:sz w:val="20"/>
          <w:szCs w:val="20"/>
        </w:rPr>
        <w:t>Where children are permitted on the premises or part of the premises any additional risks associated with potential access by children to gambling.</w:t>
      </w:r>
    </w:p>
    <w:p w14:paraId="5346D27B" w14:textId="77777777" w:rsidR="00D20163" w:rsidRDefault="00D20163" w:rsidP="0077506C">
      <w:pPr>
        <w:pStyle w:val="NoSpacing"/>
        <w:numPr>
          <w:ilvl w:val="0"/>
          <w:numId w:val="5"/>
        </w:numPr>
        <w:rPr>
          <w:rFonts w:ascii="Arial" w:hAnsi="Arial" w:cs="Arial"/>
          <w:sz w:val="20"/>
          <w:szCs w:val="20"/>
        </w:rPr>
      </w:pPr>
      <w:r>
        <w:rPr>
          <w:rFonts w:ascii="Arial" w:hAnsi="Arial" w:cs="Arial"/>
          <w:sz w:val="20"/>
          <w:szCs w:val="20"/>
        </w:rPr>
        <w:t>The location of</w:t>
      </w:r>
      <w:r w:rsidR="00C7532D">
        <w:rPr>
          <w:rFonts w:ascii="Arial" w:hAnsi="Arial" w:cs="Arial"/>
          <w:sz w:val="20"/>
          <w:szCs w:val="20"/>
        </w:rPr>
        <w:t xml:space="preserve"> health related services such as hospitals, clinics or health centres</w:t>
      </w:r>
      <w:r w:rsidR="00102DC4">
        <w:rPr>
          <w:rFonts w:ascii="Arial" w:hAnsi="Arial" w:cs="Arial"/>
          <w:sz w:val="20"/>
          <w:szCs w:val="20"/>
        </w:rPr>
        <w:t>. I</w:t>
      </w:r>
      <w:r w:rsidR="00C7532D">
        <w:rPr>
          <w:rFonts w:ascii="Arial" w:hAnsi="Arial" w:cs="Arial"/>
          <w:sz w:val="20"/>
          <w:szCs w:val="20"/>
        </w:rPr>
        <w:t>n particular</w:t>
      </w:r>
      <w:r w:rsidR="00102DC4">
        <w:rPr>
          <w:rFonts w:ascii="Arial" w:hAnsi="Arial" w:cs="Arial"/>
          <w:sz w:val="20"/>
          <w:szCs w:val="20"/>
        </w:rPr>
        <w:t xml:space="preserve"> operators should consider any </w:t>
      </w:r>
      <w:r w:rsidR="00C7532D">
        <w:rPr>
          <w:rFonts w:ascii="Arial" w:hAnsi="Arial" w:cs="Arial"/>
          <w:sz w:val="20"/>
          <w:szCs w:val="20"/>
        </w:rPr>
        <w:t>mental health services, services for people with learning disabilities, drug, alcohol or gambling dependency services, or other services for vulnerable groups.</w:t>
      </w:r>
    </w:p>
    <w:p w14:paraId="5346D27C" w14:textId="77777777" w:rsidR="0077506C" w:rsidRDefault="0077506C" w:rsidP="0077506C">
      <w:pPr>
        <w:pStyle w:val="NoSpacing"/>
        <w:numPr>
          <w:ilvl w:val="0"/>
          <w:numId w:val="5"/>
        </w:numPr>
        <w:rPr>
          <w:rFonts w:ascii="Arial" w:hAnsi="Arial" w:cs="Arial"/>
          <w:sz w:val="20"/>
          <w:szCs w:val="20"/>
        </w:rPr>
      </w:pPr>
      <w:r>
        <w:rPr>
          <w:rFonts w:ascii="Arial" w:hAnsi="Arial" w:cs="Arial"/>
          <w:sz w:val="20"/>
          <w:szCs w:val="20"/>
        </w:rPr>
        <w:t>The demographics of an area in relation to vulnerable groups</w:t>
      </w:r>
    </w:p>
    <w:p w14:paraId="5346D27D" w14:textId="77777777" w:rsidR="006B26B9" w:rsidRDefault="006B26B9" w:rsidP="0077506C">
      <w:pPr>
        <w:pStyle w:val="NoSpacing"/>
        <w:numPr>
          <w:ilvl w:val="0"/>
          <w:numId w:val="5"/>
        </w:numPr>
        <w:rPr>
          <w:rFonts w:ascii="Arial" w:hAnsi="Arial" w:cs="Arial"/>
          <w:sz w:val="20"/>
          <w:szCs w:val="20"/>
        </w:rPr>
      </w:pPr>
      <w:r>
        <w:rPr>
          <w:rFonts w:ascii="Arial" w:hAnsi="Arial" w:cs="Arial"/>
          <w:sz w:val="20"/>
          <w:szCs w:val="20"/>
        </w:rPr>
        <w:t>The demographics of the area in relation to notices and guidance that will feature in the premises, specifically whether there is a need to have notices and guidance available in different formats or languages.</w:t>
      </w:r>
    </w:p>
    <w:p w14:paraId="5346D27E" w14:textId="77777777" w:rsidR="0077506C" w:rsidRDefault="0077506C" w:rsidP="0077506C">
      <w:pPr>
        <w:pStyle w:val="NoSpacing"/>
        <w:numPr>
          <w:ilvl w:val="0"/>
          <w:numId w:val="5"/>
        </w:numPr>
        <w:rPr>
          <w:rFonts w:ascii="Arial" w:hAnsi="Arial" w:cs="Arial"/>
          <w:sz w:val="20"/>
          <w:szCs w:val="20"/>
        </w:rPr>
      </w:pPr>
      <w:r>
        <w:rPr>
          <w:rFonts w:ascii="Arial" w:hAnsi="Arial" w:cs="Arial"/>
          <w:sz w:val="20"/>
          <w:szCs w:val="20"/>
        </w:rPr>
        <w:t>Whether the premises is in an area subject to high levels of crime and disorder</w:t>
      </w:r>
      <w:r w:rsidR="00D20163">
        <w:rPr>
          <w:rFonts w:ascii="Arial" w:hAnsi="Arial" w:cs="Arial"/>
          <w:sz w:val="20"/>
          <w:szCs w:val="20"/>
        </w:rPr>
        <w:t xml:space="preserve"> and/or anti-social behaviour.</w:t>
      </w:r>
    </w:p>
    <w:p w14:paraId="5346D27F" w14:textId="77777777" w:rsidR="00293CAF" w:rsidRDefault="00293CAF" w:rsidP="0077506C">
      <w:pPr>
        <w:pStyle w:val="NoSpacing"/>
        <w:numPr>
          <w:ilvl w:val="0"/>
          <w:numId w:val="5"/>
        </w:numPr>
        <w:rPr>
          <w:rFonts w:ascii="Arial" w:hAnsi="Arial" w:cs="Arial"/>
          <w:sz w:val="20"/>
          <w:szCs w:val="20"/>
        </w:rPr>
      </w:pPr>
      <w:r>
        <w:rPr>
          <w:rFonts w:ascii="Arial" w:hAnsi="Arial" w:cs="Arial"/>
          <w:sz w:val="20"/>
          <w:szCs w:val="20"/>
        </w:rPr>
        <w:t>Whether there are any other gambling premises in the area.</w:t>
      </w:r>
    </w:p>
    <w:p w14:paraId="5346D280" w14:textId="77777777" w:rsidR="00293CAF" w:rsidRDefault="00293CAF" w:rsidP="0077506C">
      <w:pPr>
        <w:pStyle w:val="NoSpacing"/>
        <w:numPr>
          <w:ilvl w:val="0"/>
          <w:numId w:val="5"/>
        </w:numPr>
        <w:rPr>
          <w:rFonts w:ascii="Arial" w:hAnsi="Arial" w:cs="Arial"/>
          <w:sz w:val="20"/>
          <w:szCs w:val="20"/>
        </w:rPr>
      </w:pPr>
      <w:r>
        <w:rPr>
          <w:rFonts w:ascii="Arial" w:hAnsi="Arial" w:cs="Arial"/>
          <w:sz w:val="20"/>
          <w:szCs w:val="20"/>
        </w:rPr>
        <w:t>Whether there are any alcohol licensed premises in the area.</w:t>
      </w:r>
    </w:p>
    <w:p w14:paraId="5346D281" w14:textId="77777777" w:rsidR="00EF5B5A" w:rsidRDefault="00EF5B5A" w:rsidP="0077506C">
      <w:pPr>
        <w:pStyle w:val="NoSpacing"/>
        <w:numPr>
          <w:ilvl w:val="0"/>
          <w:numId w:val="5"/>
        </w:numPr>
        <w:rPr>
          <w:rFonts w:ascii="Arial" w:hAnsi="Arial" w:cs="Arial"/>
          <w:sz w:val="20"/>
          <w:szCs w:val="20"/>
        </w:rPr>
      </w:pPr>
      <w:r>
        <w:rPr>
          <w:rFonts w:ascii="Arial" w:hAnsi="Arial" w:cs="Arial"/>
          <w:sz w:val="20"/>
          <w:szCs w:val="20"/>
        </w:rPr>
        <w:t>Any relevant safeguarding factors.</w:t>
      </w:r>
    </w:p>
    <w:p w14:paraId="5346D282" w14:textId="77777777" w:rsidR="00D20163" w:rsidRDefault="0077506C" w:rsidP="00D20163">
      <w:pPr>
        <w:pStyle w:val="NoSpacing"/>
        <w:numPr>
          <w:ilvl w:val="0"/>
          <w:numId w:val="5"/>
        </w:numPr>
        <w:rPr>
          <w:rFonts w:ascii="Arial" w:hAnsi="Arial" w:cs="Arial"/>
          <w:sz w:val="20"/>
          <w:szCs w:val="20"/>
        </w:rPr>
      </w:pPr>
      <w:r>
        <w:rPr>
          <w:rFonts w:ascii="Arial" w:hAnsi="Arial" w:cs="Arial"/>
          <w:sz w:val="20"/>
          <w:szCs w:val="20"/>
        </w:rPr>
        <w:t>Local Risk Assessments should show how vulnerable people including people with gambling dependencies are protected</w:t>
      </w:r>
    </w:p>
    <w:p w14:paraId="5346D283" w14:textId="77777777" w:rsidR="00D20163" w:rsidRPr="00D20163" w:rsidRDefault="00C7532D" w:rsidP="00D20163">
      <w:pPr>
        <w:pStyle w:val="NoSpacing"/>
        <w:numPr>
          <w:ilvl w:val="0"/>
          <w:numId w:val="5"/>
        </w:numPr>
        <w:rPr>
          <w:rFonts w:ascii="Arial" w:hAnsi="Arial" w:cs="Arial"/>
          <w:sz w:val="20"/>
          <w:szCs w:val="20"/>
        </w:rPr>
      </w:pPr>
      <w:r>
        <w:rPr>
          <w:rFonts w:ascii="Arial" w:hAnsi="Arial" w:cs="Arial"/>
          <w:sz w:val="20"/>
          <w:szCs w:val="20"/>
        </w:rPr>
        <w:t xml:space="preserve">This list is not exhaustive and operators should </w:t>
      </w:r>
      <w:r w:rsidR="00E24559">
        <w:rPr>
          <w:rFonts w:ascii="Arial" w:hAnsi="Arial" w:cs="Arial"/>
          <w:sz w:val="20"/>
          <w:szCs w:val="20"/>
        </w:rPr>
        <w:t xml:space="preserve">include </w:t>
      </w:r>
      <w:r>
        <w:rPr>
          <w:rFonts w:ascii="Arial" w:hAnsi="Arial" w:cs="Arial"/>
          <w:sz w:val="20"/>
          <w:szCs w:val="20"/>
        </w:rPr>
        <w:t>any relevant local risks</w:t>
      </w:r>
      <w:r w:rsidR="00E24559">
        <w:rPr>
          <w:rFonts w:ascii="Arial" w:hAnsi="Arial" w:cs="Arial"/>
          <w:sz w:val="20"/>
          <w:szCs w:val="20"/>
        </w:rPr>
        <w:t xml:space="preserve"> which they believe may impact on the licensing objectives</w:t>
      </w:r>
      <w:r>
        <w:rPr>
          <w:rFonts w:ascii="Arial" w:hAnsi="Arial" w:cs="Arial"/>
          <w:sz w:val="20"/>
          <w:szCs w:val="20"/>
        </w:rPr>
        <w:t>.</w:t>
      </w:r>
    </w:p>
    <w:p w14:paraId="5346D284" w14:textId="77777777" w:rsidR="00DB47ED" w:rsidRDefault="00DB47ED" w:rsidP="00DB47ED">
      <w:pPr>
        <w:pStyle w:val="NoSpacing"/>
        <w:rPr>
          <w:rFonts w:ascii="Arial" w:hAnsi="Arial" w:cs="Arial"/>
          <w:sz w:val="20"/>
          <w:szCs w:val="20"/>
        </w:rPr>
      </w:pPr>
    </w:p>
    <w:p w14:paraId="5346D285" w14:textId="77777777" w:rsidR="004D5C6B" w:rsidRDefault="004D5C6B" w:rsidP="00DB47ED">
      <w:pPr>
        <w:pStyle w:val="NoSpacing"/>
        <w:numPr>
          <w:ilvl w:val="0"/>
          <w:numId w:val="4"/>
        </w:numPr>
        <w:rPr>
          <w:rFonts w:ascii="Arial" w:hAnsi="Arial" w:cs="Arial"/>
          <w:b/>
          <w:sz w:val="20"/>
          <w:szCs w:val="20"/>
        </w:rPr>
      </w:pPr>
      <w:r>
        <w:rPr>
          <w:rFonts w:ascii="Arial" w:hAnsi="Arial" w:cs="Arial"/>
          <w:b/>
          <w:sz w:val="20"/>
          <w:szCs w:val="20"/>
        </w:rPr>
        <w:t>Gambling Operational Risks</w:t>
      </w:r>
    </w:p>
    <w:p w14:paraId="5346D286" w14:textId="77777777" w:rsidR="004D5C6B" w:rsidRDefault="004D5C6B" w:rsidP="00796158">
      <w:pPr>
        <w:pStyle w:val="NoSpacing"/>
        <w:ind w:left="720"/>
        <w:rPr>
          <w:rFonts w:ascii="Arial" w:hAnsi="Arial" w:cs="Arial"/>
          <w:sz w:val="20"/>
          <w:szCs w:val="20"/>
          <w:lang w:eastAsia="en-GB"/>
        </w:rPr>
      </w:pPr>
      <w:r w:rsidRPr="00DB47ED">
        <w:rPr>
          <w:rFonts w:ascii="Arial" w:hAnsi="Arial" w:cs="Arial"/>
          <w:sz w:val="20"/>
          <w:szCs w:val="20"/>
          <w:lang w:eastAsia="en-GB"/>
        </w:rPr>
        <w:t xml:space="preserve">In assessing the risk factors associated with a gambling operation the assessor should take into account the local risks which are commonly accepted by broader stakeholders and how that gambling operation may affect that risk. </w:t>
      </w:r>
    </w:p>
    <w:p w14:paraId="5346D287" w14:textId="77777777" w:rsidR="004D5C6B" w:rsidRDefault="004D5C6B" w:rsidP="00796158">
      <w:pPr>
        <w:pStyle w:val="NoSpacing"/>
        <w:ind w:left="720"/>
        <w:rPr>
          <w:rFonts w:ascii="Arial" w:hAnsi="Arial" w:cs="Arial"/>
          <w:sz w:val="20"/>
          <w:szCs w:val="20"/>
        </w:rPr>
      </w:pPr>
    </w:p>
    <w:p w14:paraId="5346D288" w14:textId="77777777" w:rsidR="004D5C6B" w:rsidRDefault="004D5C6B" w:rsidP="00796158">
      <w:pPr>
        <w:pStyle w:val="NoSpacing"/>
        <w:ind w:left="720"/>
        <w:rPr>
          <w:rFonts w:ascii="Arial" w:hAnsi="Arial" w:cs="Arial"/>
          <w:sz w:val="20"/>
          <w:szCs w:val="20"/>
        </w:rPr>
      </w:pPr>
      <w:r w:rsidRPr="00796158">
        <w:rPr>
          <w:rFonts w:ascii="Arial" w:hAnsi="Arial" w:cs="Arial"/>
          <w:sz w:val="20"/>
          <w:szCs w:val="20"/>
        </w:rPr>
        <w:t>They should also consider the</w:t>
      </w:r>
      <w:r>
        <w:rPr>
          <w:rFonts w:ascii="Arial" w:hAnsi="Arial" w:cs="Arial"/>
          <w:sz w:val="20"/>
          <w:szCs w:val="20"/>
        </w:rPr>
        <w:t xml:space="preserve"> operational policies and procedures the business already has in place, the Act, and the LCCP.</w:t>
      </w:r>
    </w:p>
    <w:p w14:paraId="5346D289" w14:textId="77777777" w:rsidR="004D5C6B" w:rsidRDefault="004D5C6B" w:rsidP="00796158">
      <w:pPr>
        <w:pStyle w:val="NoSpacing"/>
        <w:rPr>
          <w:rFonts w:ascii="Arial" w:hAnsi="Arial" w:cs="Arial"/>
          <w:sz w:val="20"/>
          <w:szCs w:val="20"/>
        </w:rPr>
      </w:pPr>
    </w:p>
    <w:p w14:paraId="5346D28A" w14:textId="77777777" w:rsidR="004D5C6B" w:rsidRPr="00796158" w:rsidRDefault="004D5C6B" w:rsidP="00796158">
      <w:pPr>
        <w:pStyle w:val="NoSpacing"/>
        <w:ind w:left="720"/>
        <w:rPr>
          <w:rFonts w:ascii="Arial" w:hAnsi="Arial" w:cs="Arial"/>
          <w:sz w:val="20"/>
          <w:szCs w:val="20"/>
        </w:rPr>
      </w:pPr>
      <w:r>
        <w:rPr>
          <w:rFonts w:ascii="Arial" w:hAnsi="Arial" w:cs="Arial"/>
          <w:sz w:val="20"/>
          <w:szCs w:val="20"/>
        </w:rPr>
        <w:t>It is likely that the identification of risks associated with this element of the assessment will be broadly similar across premises run by the same operator</w:t>
      </w:r>
      <w:r w:rsidR="00480366">
        <w:rPr>
          <w:rFonts w:ascii="Arial" w:hAnsi="Arial" w:cs="Arial"/>
          <w:sz w:val="20"/>
          <w:szCs w:val="20"/>
        </w:rPr>
        <w:t>, with appropriate local factors considered. The types of measures put in place will depend on the size of the organisation, type of gambling provided, and operational policies of the organisation.</w:t>
      </w:r>
    </w:p>
    <w:p w14:paraId="5346D28B" w14:textId="77777777" w:rsidR="004D5C6B" w:rsidRDefault="004D5C6B" w:rsidP="00796158">
      <w:pPr>
        <w:pStyle w:val="NoSpacing"/>
        <w:ind w:left="360"/>
        <w:rPr>
          <w:rFonts w:ascii="Arial" w:hAnsi="Arial" w:cs="Arial"/>
          <w:b/>
          <w:sz w:val="20"/>
          <w:szCs w:val="20"/>
        </w:rPr>
      </w:pPr>
    </w:p>
    <w:p w14:paraId="5346D28C" w14:textId="77777777" w:rsidR="004D5C6B" w:rsidRDefault="004D5C6B" w:rsidP="00DB47ED">
      <w:pPr>
        <w:pStyle w:val="NoSpacing"/>
        <w:numPr>
          <w:ilvl w:val="0"/>
          <w:numId w:val="4"/>
        </w:numPr>
        <w:rPr>
          <w:rFonts w:ascii="Arial" w:hAnsi="Arial" w:cs="Arial"/>
          <w:b/>
          <w:sz w:val="20"/>
          <w:szCs w:val="20"/>
        </w:rPr>
      </w:pPr>
      <w:r>
        <w:rPr>
          <w:rFonts w:ascii="Arial" w:hAnsi="Arial" w:cs="Arial"/>
          <w:b/>
          <w:sz w:val="20"/>
          <w:szCs w:val="20"/>
        </w:rPr>
        <w:t xml:space="preserve">Premises </w:t>
      </w:r>
      <w:r w:rsidR="00480366">
        <w:rPr>
          <w:rFonts w:ascii="Arial" w:hAnsi="Arial" w:cs="Arial"/>
          <w:b/>
          <w:sz w:val="20"/>
          <w:szCs w:val="20"/>
        </w:rPr>
        <w:t>Design Risks</w:t>
      </w:r>
    </w:p>
    <w:p w14:paraId="5346D28D" w14:textId="77777777" w:rsidR="00480366" w:rsidRPr="00DB47ED" w:rsidRDefault="00480366" w:rsidP="00796158">
      <w:pPr>
        <w:pStyle w:val="NoSpacing"/>
        <w:ind w:left="720"/>
        <w:rPr>
          <w:rFonts w:ascii="Arial" w:hAnsi="Arial" w:cs="Arial"/>
          <w:sz w:val="20"/>
          <w:szCs w:val="20"/>
          <w:lang w:eastAsia="en-GB"/>
        </w:rPr>
      </w:pPr>
      <w:r w:rsidRPr="00DB47ED">
        <w:rPr>
          <w:rFonts w:ascii="Arial" w:hAnsi="Arial" w:cs="Arial"/>
          <w:sz w:val="20"/>
          <w:szCs w:val="20"/>
          <w:lang w:eastAsia="en-GB"/>
        </w:rPr>
        <w:t>The physical design of the premises is a key consideration as this could have a significant impact on the risk to the licensing objectives. In assessing the risk factors associated with the premises design and layout reference is needed to the local area risks factors already identified to ensure the design</w:t>
      </w:r>
      <w:r>
        <w:rPr>
          <w:rFonts w:ascii="Arial" w:hAnsi="Arial" w:cs="Arial"/>
          <w:sz w:val="20"/>
          <w:szCs w:val="20"/>
          <w:lang w:eastAsia="en-GB"/>
        </w:rPr>
        <w:t xml:space="preserve"> </w:t>
      </w:r>
      <w:r w:rsidRPr="00DB47ED">
        <w:rPr>
          <w:rFonts w:ascii="Arial" w:hAnsi="Arial" w:cs="Arial"/>
          <w:sz w:val="20"/>
          <w:szCs w:val="20"/>
          <w:lang w:eastAsia="en-GB"/>
        </w:rPr>
        <w:t xml:space="preserve">doesn’t add to that risk. The design, both internal and external should be considered and specific risk factors identified and noted. </w:t>
      </w:r>
    </w:p>
    <w:p w14:paraId="5346D28E" w14:textId="77777777" w:rsidR="00480366" w:rsidRDefault="00480366" w:rsidP="00796158">
      <w:pPr>
        <w:pStyle w:val="NoSpacing"/>
        <w:ind w:left="360"/>
        <w:rPr>
          <w:rFonts w:ascii="Arial" w:hAnsi="Arial" w:cs="Arial"/>
          <w:b/>
          <w:sz w:val="20"/>
          <w:szCs w:val="20"/>
        </w:rPr>
      </w:pPr>
    </w:p>
    <w:p w14:paraId="5346D28F" w14:textId="77777777" w:rsidR="004D5C6B" w:rsidRDefault="00261C86" w:rsidP="00796158">
      <w:pPr>
        <w:pStyle w:val="NoSpacing"/>
        <w:ind w:left="720"/>
        <w:rPr>
          <w:rFonts w:ascii="Arial" w:hAnsi="Arial" w:cs="Arial"/>
          <w:sz w:val="20"/>
          <w:szCs w:val="20"/>
        </w:rPr>
      </w:pPr>
      <w:r w:rsidRPr="00796158">
        <w:rPr>
          <w:rFonts w:ascii="Arial" w:hAnsi="Arial" w:cs="Arial"/>
          <w:sz w:val="20"/>
          <w:szCs w:val="20"/>
        </w:rPr>
        <w:lastRenderedPageBreak/>
        <w:t>The internal design and layout will reflect the premises operation and the type of gambling facilities that it offers.</w:t>
      </w:r>
      <w:r>
        <w:rPr>
          <w:rFonts w:ascii="Arial" w:hAnsi="Arial" w:cs="Arial"/>
          <w:sz w:val="20"/>
          <w:szCs w:val="20"/>
        </w:rPr>
        <w:t xml:space="preserve"> </w:t>
      </w:r>
      <w:r w:rsidRPr="00261C86">
        <w:rPr>
          <w:rFonts w:ascii="Arial" w:hAnsi="Arial" w:cs="Arial"/>
          <w:sz w:val="20"/>
          <w:szCs w:val="20"/>
        </w:rPr>
        <w:t>Operators should assess the risk presented by the internal layout of the premises and the location of gambling facilities within them.</w:t>
      </w:r>
      <w:r>
        <w:rPr>
          <w:rFonts w:ascii="Arial" w:hAnsi="Arial" w:cs="Arial"/>
          <w:sz w:val="20"/>
          <w:szCs w:val="20"/>
        </w:rPr>
        <w:t xml:space="preserve"> Simple adjustments or changes to layout early in the process can significantly reduce the risk to the licensing objectives.</w:t>
      </w:r>
    </w:p>
    <w:p w14:paraId="5346D290" w14:textId="77777777" w:rsidR="00261C86" w:rsidRDefault="00261C86" w:rsidP="00796158">
      <w:pPr>
        <w:pStyle w:val="NoSpacing"/>
        <w:ind w:left="720"/>
        <w:rPr>
          <w:rFonts w:ascii="Arial" w:hAnsi="Arial" w:cs="Arial"/>
          <w:sz w:val="20"/>
          <w:szCs w:val="20"/>
        </w:rPr>
      </w:pPr>
    </w:p>
    <w:p w14:paraId="5346D291" w14:textId="77777777" w:rsidR="00261C86" w:rsidRDefault="00261C86" w:rsidP="00796158">
      <w:pPr>
        <w:pStyle w:val="NoSpacing"/>
        <w:ind w:left="720"/>
        <w:rPr>
          <w:rFonts w:ascii="Arial" w:hAnsi="Arial" w:cs="Arial"/>
          <w:sz w:val="20"/>
          <w:szCs w:val="20"/>
        </w:rPr>
      </w:pPr>
      <w:r>
        <w:rPr>
          <w:rFonts w:ascii="Arial" w:hAnsi="Arial" w:cs="Arial"/>
          <w:sz w:val="20"/>
          <w:szCs w:val="20"/>
        </w:rPr>
        <w:t>The exterior of the premises is equally significant and should be carefully considered when assessing premises. Issues such as large glass frontages in areas of high vandalism may feature in the risk assessment and impact the design of the exterior of the premises.</w:t>
      </w:r>
    </w:p>
    <w:p w14:paraId="5346D292" w14:textId="77777777" w:rsidR="00261C86" w:rsidRPr="00796158" w:rsidRDefault="00261C86" w:rsidP="00796158">
      <w:pPr>
        <w:pStyle w:val="NoSpacing"/>
        <w:rPr>
          <w:rFonts w:ascii="Arial" w:hAnsi="Arial" w:cs="Arial"/>
          <w:sz w:val="20"/>
          <w:szCs w:val="20"/>
        </w:rPr>
      </w:pPr>
    </w:p>
    <w:p w14:paraId="5346D293" w14:textId="77777777" w:rsidR="00DB47ED" w:rsidRDefault="00DB47ED" w:rsidP="00DB47ED">
      <w:pPr>
        <w:pStyle w:val="NoSpacing"/>
        <w:ind w:left="720"/>
        <w:rPr>
          <w:rFonts w:ascii="Arial" w:hAnsi="Arial" w:cs="Arial"/>
          <w:sz w:val="20"/>
          <w:szCs w:val="20"/>
          <w:lang w:eastAsia="en-GB"/>
        </w:rPr>
      </w:pPr>
    </w:p>
    <w:p w14:paraId="5346D294" w14:textId="77777777" w:rsidR="00DB47ED" w:rsidRDefault="00DB47ED" w:rsidP="00DB47ED">
      <w:pPr>
        <w:pStyle w:val="NoSpacing"/>
        <w:ind w:left="720"/>
        <w:rPr>
          <w:rFonts w:ascii="Arial" w:hAnsi="Arial" w:cs="Arial"/>
          <w:sz w:val="20"/>
          <w:szCs w:val="20"/>
        </w:rPr>
      </w:pPr>
    </w:p>
    <w:p w14:paraId="5346D295" w14:textId="77777777" w:rsidR="00DB47ED" w:rsidRPr="008D0B84" w:rsidRDefault="00DB47ED" w:rsidP="00796158">
      <w:pPr>
        <w:pStyle w:val="NoSpacing"/>
        <w:ind w:left="720"/>
        <w:rPr>
          <w:rFonts w:ascii="Arial" w:hAnsi="Arial" w:cs="Arial"/>
          <w:b/>
          <w:sz w:val="20"/>
          <w:szCs w:val="20"/>
        </w:rPr>
      </w:pPr>
      <w:r w:rsidRPr="008D0B84">
        <w:rPr>
          <w:rFonts w:ascii="Arial" w:hAnsi="Arial" w:cs="Arial"/>
          <w:b/>
          <w:sz w:val="20"/>
          <w:szCs w:val="20"/>
        </w:rPr>
        <w:t>Control Measures</w:t>
      </w:r>
    </w:p>
    <w:p w14:paraId="5346D296" w14:textId="77777777" w:rsidR="00261C86" w:rsidRDefault="008D0B84" w:rsidP="008D0B84">
      <w:pPr>
        <w:pStyle w:val="NoSpacing"/>
        <w:ind w:left="720"/>
        <w:rPr>
          <w:rFonts w:ascii="Arial" w:hAnsi="Arial" w:cs="Arial"/>
          <w:sz w:val="20"/>
          <w:szCs w:val="20"/>
          <w:lang w:eastAsia="en-GB"/>
        </w:rPr>
      </w:pPr>
      <w:r w:rsidRPr="008D0B84">
        <w:rPr>
          <w:rFonts w:ascii="Arial" w:hAnsi="Arial" w:cs="Arial"/>
          <w:sz w:val="20"/>
          <w:szCs w:val="20"/>
          <w:lang w:eastAsia="en-GB"/>
        </w:rPr>
        <w:t>Once the risk factors have been identified, the assessor should seek to identify control measures that would</w:t>
      </w:r>
      <w:r>
        <w:rPr>
          <w:rFonts w:ascii="Arial" w:hAnsi="Arial" w:cs="Arial"/>
          <w:sz w:val="20"/>
          <w:szCs w:val="20"/>
          <w:lang w:eastAsia="en-GB"/>
        </w:rPr>
        <w:t xml:space="preserve"> </w:t>
      </w:r>
      <w:r w:rsidRPr="008D0B84">
        <w:rPr>
          <w:rFonts w:ascii="Arial" w:hAnsi="Arial" w:cs="Arial"/>
          <w:sz w:val="20"/>
          <w:szCs w:val="20"/>
          <w:lang w:eastAsia="en-GB"/>
        </w:rPr>
        <w:t xml:space="preserve">mitigate the identified risks. </w:t>
      </w:r>
      <w:r w:rsidR="00261C86" w:rsidRPr="00261C86">
        <w:rPr>
          <w:rFonts w:ascii="Arial" w:hAnsi="Arial" w:cs="Arial"/>
          <w:sz w:val="20"/>
          <w:szCs w:val="20"/>
          <w:lang w:eastAsia="en-GB"/>
        </w:rPr>
        <w:t xml:space="preserve">Depending on the nature of the risk factors, the control measures identified to mitigate the perceived risk may be a combination of systems, design and physical measure.  </w:t>
      </w:r>
    </w:p>
    <w:p w14:paraId="5346D297" w14:textId="77777777" w:rsidR="00261C86" w:rsidRDefault="00261C86" w:rsidP="008D0B84">
      <w:pPr>
        <w:pStyle w:val="NoSpacing"/>
        <w:ind w:left="720"/>
        <w:rPr>
          <w:rFonts w:ascii="Arial" w:hAnsi="Arial" w:cs="Arial"/>
          <w:sz w:val="20"/>
          <w:szCs w:val="20"/>
          <w:lang w:eastAsia="en-GB"/>
        </w:rPr>
      </w:pPr>
    </w:p>
    <w:p w14:paraId="5346D298" w14:textId="77777777" w:rsidR="00261C86" w:rsidRDefault="00261C86" w:rsidP="008D0B84">
      <w:pPr>
        <w:pStyle w:val="NoSpacing"/>
        <w:ind w:left="720"/>
        <w:rPr>
          <w:rFonts w:ascii="Arial" w:hAnsi="Arial" w:cs="Arial"/>
          <w:sz w:val="20"/>
          <w:szCs w:val="20"/>
          <w:lang w:eastAsia="en-GB"/>
        </w:rPr>
      </w:pPr>
      <w:r w:rsidRPr="00261C86">
        <w:rPr>
          <w:rFonts w:ascii="Arial" w:hAnsi="Arial" w:cs="Arial"/>
          <w:sz w:val="20"/>
          <w:szCs w:val="20"/>
          <w:lang w:eastAsia="en-GB"/>
        </w:rPr>
        <w:t xml:space="preserve">Control measures that relate to systems may be measures that have been put in place though policies and procedures.  </w:t>
      </w:r>
      <w:r>
        <w:rPr>
          <w:rFonts w:ascii="Arial" w:hAnsi="Arial" w:cs="Arial"/>
          <w:sz w:val="20"/>
          <w:szCs w:val="20"/>
          <w:lang w:eastAsia="en-GB"/>
        </w:rPr>
        <w:t>These may either be systems that are applied to all of the operator’s premises, or have</w:t>
      </w:r>
      <w:r w:rsidR="00D20163">
        <w:rPr>
          <w:rFonts w:ascii="Arial" w:hAnsi="Arial" w:cs="Arial"/>
          <w:sz w:val="20"/>
          <w:szCs w:val="20"/>
          <w:lang w:eastAsia="en-GB"/>
        </w:rPr>
        <w:t xml:space="preserve"> been put in place for individual premises to deal with a specific local risk factor.</w:t>
      </w:r>
    </w:p>
    <w:p w14:paraId="5346D299" w14:textId="77777777" w:rsidR="00261C86" w:rsidRDefault="00261C86" w:rsidP="008D0B84">
      <w:pPr>
        <w:pStyle w:val="NoSpacing"/>
        <w:ind w:left="720"/>
        <w:rPr>
          <w:rFonts w:ascii="Arial" w:hAnsi="Arial" w:cs="Arial"/>
          <w:sz w:val="20"/>
          <w:szCs w:val="20"/>
          <w:lang w:eastAsia="en-GB"/>
        </w:rPr>
      </w:pPr>
    </w:p>
    <w:p w14:paraId="5346D29A" w14:textId="77777777" w:rsidR="00261C86" w:rsidRDefault="00261C86" w:rsidP="008D0B84">
      <w:pPr>
        <w:pStyle w:val="NoSpacing"/>
        <w:ind w:left="720"/>
        <w:rPr>
          <w:rFonts w:ascii="Arial" w:hAnsi="Arial" w:cs="Arial"/>
          <w:sz w:val="20"/>
          <w:szCs w:val="20"/>
          <w:lang w:eastAsia="en-GB"/>
        </w:rPr>
      </w:pPr>
      <w:r w:rsidRPr="00261C86">
        <w:rPr>
          <w:rFonts w:ascii="Arial" w:hAnsi="Arial" w:cs="Arial"/>
          <w:sz w:val="20"/>
          <w:szCs w:val="20"/>
          <w:lang w:eastAsia="en-GB"/>
        </w:rPr>
        <w:t>Design control measures are measures that are built into the design of the premises.  These can include the location of gambling facilities and the design and location of cashier counters within the premises, and the exterior design of premises.</w:t>
      </w:r>
    </w:p>
    <w:p w14:paraId="5346D29B" w14:textId="77777777" w:rsidR="00261C86" w:rsidRDefault="00261C86" w:rsidP="008D0B84">
      <w:pPr>
        <w:pStyle w:val="NoSpacing"/>
        <w:ind w:left="720"/>
        <w:rPr>
          <w:rFonts w:ascii="Arial" w:hAnsi="Arial" w:cs="Arial"/>
          <w:sz w:val="20"/>
          <w:szCs w:val="20"/>
          <w:lang w:eastAsia="en-GB"/>
        </w:rPr>
      </w:pPr>
    </w:p>
    <w:p w14:paraId="5346D29C" w14:textId="77777777" w:rsidR="00261C86" w:rsidRDefault="00261C86" w:rsidP="008D0B84">
      <w:pPr>
        <w:pStyle w:val="NoSpacing"/>
        <w:ind w:left="720"/>
        <w:rPr>
          <w:rFonts w:ascii="Arial" w:hAnsi="Arial" w:cs="Arial"/>
          <w:sz w:val="20"/>
          <w:szCs w:val="20"/>
          <w:lang w:eastAsia="en-GB"/>
        </w:rPr>
      </w:pPr>
      <w:r>
        <w:rPr>
          <w:rFonts w:ascii="Arial" w:hAnsi="Arial" w:cs="Arial"/>
          <w:sz w:val="20"/>
          <w:szCs w:val="20"/>
          <w:lang w:eastAsia="en-GB"/>
        </w:rPr>
        <w:t xml:space="preserve">Physical </w:t>
      </w:r>
      <w:r w:rsidRPr="00261C86">
        <w:rPr>
          <w:rFonts w:ascii="Arial" w:hAnsi="Arial" w:cs="Arial"/>
          <w:sz w:val="20"/>
          <w:szCs w:val="20"/>
          <w:lang w:eastAsia="en-GB"/>
        </w:rPr>
        <w:t>control measures relate to specific physical measure</w:t>
      </w:r>
      <w:r>
        <w:rPr>
          <w:rFonts w:ascii="Arial" w:hAnsi="Arial" w:cs="Arial"/>
          <w:sz w:val="20"/>
          <w:szCs w:val="20"/>
          <w:lang w:eastAsia="en-GB"/>
        </w:rPr>
        <w:t>s</w:t>
      </w:r>
      <w:r w:rsidRPr="00261C86">
        <w:rPr>
          <w:rFonts w:ascii="Arial" w:hAnsi="Arial" w:cs="Arial"/>
          <w:sz w:val="20"/>
          <w:szCs w:val="20"/>
          <w:lang w:eastAsia="en-GB"/>
        </w:rPr>
        <w:t xml:space="preserve"> that will address an identified risk factor.  These physical control measures may, for example, include alarms, CCTV cameras, doors, magnetic locks, time locks on safes, spit kits, window shutters, fogging systems, UV lights in toilets.</w:t>
      </w:r>
    </w:p>
    <w:p w14:paraId="5346D29D" w14:textId="77777777" w:rsidR="00261C86" w:rsidRDefault="00261C86" w:rsidP="008D0B84">
      <w:pPr>
        <w:pStyle w:val="NoSpacing"/>
        <w:ind w:left="720"/>
        <w:rPr>
          <w:rFonts w:ascii="Arial" w:hAnsi="Arial" w:cs="Arial"/>
          <w:sz w:val="20"/>
          <w:szCs w:val="20"/>
          <w:lang w:eastAsia="en-GB"/>
        </w:rPr>
      </w:pPr>
    </w:p>
    <w:p w14:paraId="5346D29E" w14:textId="77777777" w:rsidR="008D0B84" w:rsidRPr="008D0B84" w:rsidRDefault="008D0B84" w:rsidP="008D0B84">
      <w:pPr>
        <w:pStyle w:val="NoSpacing"/>
        <w:ind w:left="720"/>
        <w:rPr>
          <w:rFonts w:ascii="Arial" w:hAnsi="Arial" w:cs="Arial"/>
          <w:sz w:val="20"/>
          <w:szCs w:val="20"/>
          <w:lang w:eastAsia="en-GB"/>
        </w:rPr>
      </w:pPr>
    </w:p>
    <w:p w14:paraId="5346D29F" w14:textId="77777777" w:rsidR="008D0B84" w:rsidRDefault="008D0B84" w:rsidP="008D0B84">
      <w:pPr>
        <w:pStyle w:val="NoSpacing"/>
        <w:ind w:left="720"/>
        <w:rPr>
          <w:rFonts w:ascii="Arial" w:hAnsi="Arial" w:cs="Arial"/>
          <w:sz w:val="20"/>
          <w:szCs w:val="20"/>
        </w:rPr>
      </w:pPr>
    </w:p>
    <w:p w14:paraId="5346D2A0" w14:textId="77777777" w:rsidR="00DB47ED" w:rsidRPr="007E3DB8" w:rsidRDefault="00DB47ED" w:rsidP="00796158">
      <w:pPr>
        <w:pStyle w:val="NoSpacing"/>
        <w:ind w:left="720"/>
        <w:rPr>
          <w:rFonts w:ascii="Arial" w:hAnsi="Arial" w:cs="Arial"/>
          <w:b/>
          <w:sz w:val="20"/>
          <w:szCs w:val="20"/>
        </w:rPr>
      </w:pPr>
      <w:r w:rsidRPr="007E3DB8">
        <w:rPr>
          <w:rFonts w:ascii="Arial" w:hAnsi="Arial" w:cs="Arial"/>
          <w:b/>
          <w:sz w:val="20"/>
          <w:szCs w:val="20"/>
        </w:rPr>
        <w:t>Action Plan</w:t>
      </w:r>
    </w:p>
    <w:p w14:paraId="5346D2A1" w14:textId="77777777" w:rsidR="007E3DB8" w:rsidRPr="007E3DB8" w:rsidRDefault="007E3DB8" w:rsidP="007E3DB8">
      <w:pPr>
        <w:pStyle w:val="NoSpacing"/>
        <w:ind w:left="720"/>
        <w:rPr>
          <w:rFonts w:ascii="Arial" w:hAnsi="Arial" w:cs="Arial"/>
          <w:sz w:val="20"/>
          <w:szCs w:val="20"/>
          <w:lang w:eastAsia="en-GB"/>
        </w:rPr>
      </w:pPr>
      <w:r w:rsidRPr="007E3DB8">
        <w:rPr>
          <w:rFonts w:ascii="Arial" w:hAnsi="Arial" w:cs="Arial"/>
          <w:sz w:val="20"/>
          <w:szCs w:val="20"/>
          <w:lang w:eastAsia="en-GB"/>
        </w:rPr>
        <w:t>Once the assessment has been carried out an action plan should be completed so that any identified</w:t>
      </w:r>
      <w:r>
        <w:rPr>
          <w:rFonts w:ascii="Arial" w:hAnsi="Arial" w:cs="Arial"/>
          <w:sz w:val="20"/>
          <w:szCs w:val="20"/>
          <w:lang w:eastAsia="en-GB"/>
        </w:rPr>
        <w:t xml:space="preserve"> </w:t>
      </w:r>
      <w:r w:rsidRPr="007E3DB8">
        <w:rPr>
          <w:rFonts w:ascii="Arial" w:hAnsi="Arial" w:cs="Arial"/>
          <w:sz w:val="20"/>
          <w:szCs w:val="20"/>
          <w:lang w:eastAsia="en-GB"/>
        </w:rPr>
        <w:t>actions are documented and a deadline for completing the required piece of work is set and agreed.</w:t>
      </w:r>
      <w:r w:rsidR="00D20163">
        <w:rPr>
          <w:rFonts w:ascii="Arial" w:hAnsi="Arial" w:cs="Arial"/>
          <w:sz w:val="20"/>
          <w:szCs w:val="20"/>
          <w:lang w:eastAsia="en-GB"/>
        </w:rPr>
        <w:t xml:space="preserve"> </w:t>
      </w:r>
      <w:r w:rsidR="00D20163" w:rsidRPr="00D20163">
        <w:rPr>
          <w:rFonts w:ascii="Arial" w:hAnsi="Arial" w:cs="Arial"/>
          <w:sz w:val="20"/>
          <w:szCs w:val="20"/>
          <w:lang w:eastAsia="en-GB"/>
        </w:rPr>
        <w:t>The control measures must be implemented on the premises and, if applicable, staff on the premises should be trained in their use or trained on the new policy or procedure.  The assessment must be retained and should be reviewed whenever a trigger occurs or as part of a regular review regime</w:t>
      </w:r>
    </w:p>
    <w:p w14:paraId="5346D2A2" w14:textId="77777777" w:rsidR="00DB47ED" w:rsidRDefault="00DB47ED" w:rsidP="007E3DB8">
      <w:pPr>
        <w:ind w:left="720"/>
        <w:rPr>
          <w:rFonts w:ascii="Arial" w:hAnsi="Arial" w:cs="Arial"/>
          <w:b/>
          <w:sz w:val="20"/>
          <w:szCs w:val="20"/>
        </w:rPr>
      </w:pPr>
      <w:r>
        <w:rPr>
          <w:rFonts w:ascii="Arial" w:hAnsi="Arial" w:cs="Arial"/>
          <w:b/>
          <w:sz w:val="20"/>
          <w:szCs w:val="20"/>
        </w:rPr>
        <w:br w:type="page"/>
      </w:r>
    </w:p>
    <w:p w14:paraId="5346D2A3" w14:textId="77777777" w:rsidR="00EC5B6E" w:rsidRDefault="00EC5B6E" w:rsidP="003F6923">
      <w:pPr>
        <w:pStyle w:val="NoSpacing"/>
        <w:rPr>
          <w:rFonts w:ascii="Arial" w:hAnsi="Arial" w:cs="Arial"/>
          <w:b/>
          <w:sz w:val="20"/>
          <w:szCs w:val="20"/>
        </w:rPr>
      </w:pPr>
      <w:r>
        <w:rPr>
          <w:rFonts w:ascii="Arial" w:hAnsi="Arial" w:cs="Arial"/>
          <w:b/>
          <w:sz w:val="20"/>
          <w:szCs w:val="20"/>
        </w:rPr>
        <w:lastRenderedPageBreak/>
        <w:t>Bristol Profile</w:t>
      </w:r>
    </w:p>
    <w:p w14:paraId="5346D2A4" w14:textId="77777777" w:rsidR="00B11956" w:rsidRDefault="00B11956" w:rsidP="003F6923">
      <w:pPr>
        <w:pStyle w:val="NoSpacing"/>
        <w:rPr>
          <w:rFonts w:ascii="Arial" w:hAnsi="Arial" w:cs="Arial"/>
          <w:b/>
          <w:sz w:val="20"/>
          <w:szCs w:val="20"/>
        </w:rPr>
      </w:pPr>
    </w:p>
    <w:p w14:paraId="5346D2A5" w14:textId="77777777" w:rsidR="003F6923" w:rsidRDefault="00EC5B6E" w:rsidP="003F6923">
      <w:pPr>
        <w:pStyle w:val="NoSpacing"/>
        <w:rPr>
          <w:rFonts w:ascii="Arial" w:hAnsi="Arial" w:cs="Arial"/>
          <w:b/>
          <w:sz w:val="20"/>
          <w:szCs w:val="20"/>
        </w:rPr>
      </w:pPr>
      <w:r>
        <w:rPr>
          <w:rFonts w:ascii="Arial" w:hAnsi="Arial" w:cs="Arial"/>
          <w:b/>
          <w:sz w:val="20"/>
          <w:szCs w:val="20"/>
        </w:rPr>
        <w:t>Geographical facts</w:t>
      </w:r>
    </w:p>
    <w:p w14:paraId="5346D2A6" w14:textId="77777777" w:rsidR="00CD4349" w:rsidRDefault="00CD4349" w:rsidP="003F6923">
      <w:pPr>
        <w:pStyle w:val="NoSpacing"/>
        <w:rPr>
          <w:rFonts w:ascii="Arial" w:hAnsi="Arial" w:cs="Arial"/>
          <w:b/>
          <w:sz w:val="20"/>
          <w:szCs w:val="20"/>
        </w:rPr>
      </w:pPr>
    </w:p>
    <w:p w14:paraId="5346D2A7" w14:textId="0E5C15DC" w:rsidR="00EE5E1D" w:rsidRDefault="00CD4349" w:rsidP="00EE5E1D">
      <w:pPr>
        <w:pStyle w:val="NoSpacing"/>
        <w:numPr>
          <w:ilvl w:val="0"/>
          <w:numId w:val="2"/>
        </w:numPr>
        <w:rPr>
          <w:rFonts w:ascii="Arial" w:hAnsi="Arial" w:cs="Arial"/>
          <w:sz w:val="20"/>
          <w:szCs w:val="20"/>
        </w:rPr>
      </w:pPr>
      <w:r>
        <w:rPr>
          <w:rFonts w:ascii="Arial" w:hAnsi="Arial" w:cs="Arial"/>
          <w:sz w:val="20"/>
          <w:szCs w:val="20"/>
        </w:rPr>
        <w:t xml:space="preserve">The population of Bristol is estimated to be </w:t>
      </w:r>
      <w:r w:rsidR="00127A6D">
        <w:rPr>
          <w:rFonts w:ascii="Arial" w:hAnsi="Arial" w:cs="Arial"/>
          <w:b/>
          <w:sz w:val="20"/>
          <w:szCs w:val="20"/>
        </w:rPr>
        <w:t xml:space="preserve">472,500 </w:t>
      </w:r>
      <w:r>
        <w:rPr>
          <w:rFonts w:ascii="Arial" w:hAnsi="Arial" w:cs="Arial"/>
          <w:sz w:val="20"/>
          <w:szCs w:val="20"/>
        </w:rPr>
        <w:t xml:space="preserve">people. </w:t>
      </w:r>
    </w:p>
    <w:p w14:paraId="5346D2A8" w14:textId="1F3EF3F3" w:rsidR="00CD4349" w:rsidRDefault="00EE5E1D" w:rsidP="00EE5E1D">
      <w:pPr>
        <w:pStyle w:val="NoSpacing"/>
        <w:numPr>
          <w:ilvl w:val="0"/>
          <w:numId w:val="2"/>
        </w:numPr>
        <w:rPr>
          <w:rFonts w:ascii="Arial" w:hAnsi="Arial" w:cs="Arial"/>
          <w:sz w:val="20"/>
          <w:szCs w:val="20"/>
        </w:rPr>
      </w:pPr>
      <w:r>
        <w:rPr>
          <w:rFonts w:ascii="Arial" w:hAnsi="Arial" w:cs="Arial"/>
          <w:sz w:val="20"/>
          <w:szCs w:val="20"/>
        </w:rPr>
        <w:t xml:space="preserve">At </w:t>
      </w:r>
      <w:r w:rsidRPr="000A26EC">
        <w:rPr>
          <w:rFonts w:ascii="Arial" w:hAnsi="Arial" w:cs="Arial"/>
          <w:b/>
          <w:sz w:val="20"/>
          <w:szCs w:val="20"/>
        </w:rPr>
        <w:t>42</w:t>
      </w:r>
      <w:r>
        <w:rPr>
          <w:rFonts w:ascii="Arial" w:hAnsi="Arial" w:cs="Arial"/>
          <w:sz w:val="20"/>
          <w:szCs w:val="20"/>
        </w:rPr>
        <w:t xml:space="preserve"> square miles, </w:t>
      </w:r>
      <w:r w:rsidR="00CD4349">
        <w:rPr>
          <w:rFonts w:ascii="Arial" w:hAnsi="Arial" w:cs="Arial"/>
          <w:sz w:val="20"/>
          <w:szCs w:val="20"/>
        </w:rPr>
        <w:t xml:space="preserve">Bristol is the largest city in the south west and one of the </w:t>
      </w:r>
      <w:r w:rsidR="00172335">
        <w:rPr>
          <w:rFonts w:ascii="Arial" w:hAnsi="Arial" w:cs="Arial"/>
          <w:sz w:val="20"/>
          <w:szCs w:val="20"/>
        </w:rPr>
        <w:t>eleven</w:t>
      </w:r>
      <w:r w:rsidR="00CD4349">
        <w:rPr>
          <w:rFonts w:ascii="Arial" w:hAnsi="Arial" w:cs="Arial"/>
          <w:sz w:val="20"/>
          <w:szCs w:val="20"/>
        </w:rPr>
        <w:t xml:space="preserve"> ‘core cities’ in Great Britain.</w:t>
      </w:r>
    </w:p>
    <w:p w14:paraId="5346D2A9" w14:textId="77777777" w:rsidR="00EE5E1D" w:rsidRDefault="00EE5E1D" w:rsidP="00EE5E1D">
      <w:pPr>
        <w:pStyle w:val="NoSpacing"/>
        <w:numPr>
          <w:ilvl w:val="0"/>
          <w:numId w:val="2"/>
        </w:numPr>
        <w:rPr>
          <w:rFonts w:ascii="Arial" w:hAnsi="Arial" w:cs="Arial"/>
          <w:sz w:val="20"/>
          <w:szCs w:val="20"/>
        </w:rPr>
      </w:pPr>
      <w:r>
        <w:rPr>
          <w:rFonts w:ascii="Arial" w:hAnsi="Arial" w:cs="Arial"/>
          <w:sz w:val="20"/>
          <w:szCs w:val="20"/>
        </w:rPr>
        <w:t xml:space="preserve">The city is divided into </w:t>
      </w:r>
      <w:r w:rsidRPr="000A26EC">
        <w:rPr>
          <w:rFonts w:ascii="Arial" w:hAnsi="Arial" w:cs="Arial"/>
          <w:b/>
          <w:sz w:val="20"/>
          <w:szCs w:val="20"/>
        </w:rPr>
        <w:t>34</w:t>
      </w:r>
      <w:r>
        <w:rPr>
          <w:rFonts w:ascii="Arial" w:hAnsi="Arial" w:cs="Arial"/>
          <w:sz w:val="20"/>
          <w:szCs w:val="20"/>
        </w:rPr>
        <w:t xml:space="preserve"> Wards.</w:t>
      </w:r>
    </w:p>
    <w:p w14:paraId="5346D2AA" w14:textId="77777777" w:rsidR="00121327" w:rsidRDefault="00121327" w:rsidP="003F6923">
      <w:pPr>
        <w:pStyle w:val="NoSpacing"/>
        <w:rPr>
          <w:rFonts w:ascii="Arial" w:hAnsi="Arial" w:cs="Arial"/>
          <w:sz w:val="20"/>
          <w:szCs w:val="20"/>
        </w:rPr>
      </w:pPr>
    </w:p>
    <w:p w14:paraId="5346D2AB" w14:textId="36BF0ADF" w:rsidR="000A26EC" w:rsidRDefault="00F634B3" w:rsidP="003F6923">
      <w:pPr>
        <w:pStyle w:val="NoSpacing"/>
        <w:rPr>
          <w:rFonts w:ascii="Arial" w:hAnsi="Arial" w:cs="Arial"/>
          <w:sz w:val="20"/>
          <w:szCs w:val="20"/>
        </w:rPr>
      </w:pPr>
      <w:r>
        <w:rPr>
          <w:rFonts w:ascii="Arial" w:hAnsi="Arial" w:cs="Arial"/>
          <w:sz w:val="20"/>
          <w:szCs w:val="20"/>
        </w:rPr>
        <w:t>Bristol City Council</w:t>
      </w:r>
      <w:r w:rsidR="005C3C51">
        <w:rPr>
          <w:rFonts w:ascii="Arial" w:hAnsi="Arial" w:cs="Arial"/>
          <w:sz w:val="20"/>
          <w:szCs w:val="20"/>
        </w:rPr>
        <w:t xml:space="preserve"> has</w:t>
      </w:r>
      <w:r>
        <w:rPr>
          <w:rFonts w:ascii="Arial" w:hAnsi="Arial" w:cs="Arial"/>
          <w:sz w:val="20"/>
          <w:szCs w:val="20"/>
        </w:rPr>
        <w:t xml:space="preserve"> </w:t>
      </w:r>
      <w:r w:rsidR="00121327">
        <w:rPr>
          <w:rFonts w:ascii="Arial" w:hAnsi="Arial" w:cs="Arial"/>
          <w:sz w:val="20"/>
          <w:szCs w:val="20"/>
        </w:rPr>
        <w:t>developed an exte</w:t>
      </w:r>
      <w:r>
        <w:rPr>
          <w:rFonts w:ascii="Arial" w:hAnsi="Arial" w:cs="Arial"/>
          <w:sz w:val="20"/>
          <w:szCs w:val="20"/>
        </w:rPr>
        <w:t xml:space="preserve">nsive dataset of profiles </w:t>
      </w:r>
      <w:r w:rsidR="000A26EC">
        <w:rPr>
          <w:rFonts w:ascii="Arial" w:hAnsi="Arial" w:cs="Arial"/>
          <w:sz w:val="20"/>
          <w:szCs w:val="20"/>
        </w:rPr>
        <w:t>contain</w:t>
      </w:r>
      <w:r>
        <w:rPr>
          <w:rFonts w:ascii="Arial" w:hAnsi="Arial" w:cs="Arial"/>
          <w:sz w:val="20"/>
          <w:szCs w:val="20"/>
        </w:rPr>
        <w:t>ing</w:t>
      </w:r>
      <w:r w:rsidR="000A26EC">
        <w:rPr>
          <w:rFonts w:ascii="Arial" w:hAnsi="Arial" w:cs="Arial"/>
          <w:sz w:val="20"/>
          <w:szCs w:val="20"/>
        </w:rPr>
        <w:t xml:space="preserve"> statistical information by Ward</w:t>
      </w:r>
      <w:r w:rsidR="00F56CD1">
        <w:rPr>
          <w:rFonts w:ascii="Arial" w:hAnsi="Arial" w:cs="Arial"/>
          <w:sz w:val="20"/>
          <w:szCs w:val="20"/>
        </w:rPr>
        <w:t xml:space="preserve"> which were last </w:t>
      </w:r>
      <w:r w:rsidR="00ED7333">
        <w:rPr>
          <w:rFonts w:ascii="Arial" w:hAnsi="Arial" w:cs="Arial"/>
          <w:sz w:val="20"/>
          <w:szCs w:val="20"/>
        </w:rPr>
        <w:t xml:space="preserve">updated in </w:t>
      </w:r>
      <w:r w:rsidR="0060127E">
        <w:rPr>
          <w:rFonts w:ascii="Arial" w:hAnsi="Arial" w:cs="Arial"/>
          <w:sz w:val="20"/>
          <w:szCs w:val="20"/>
        </w:rPr>
        <w:t>November 2023</w:t>
      </w:r>
      <w:r w:rsidR="00ED7333">
        <w:rPr>
          <w:rFonts w:ascii="Arial" w:hAnsi="Arial" w:cs="Arial"/>
          <w:sz w:val="20"/>
          <w:szCs w:val="20"/>
        </w:rPr>
        <w:t xml:space="preserve">. </w:t>
      </w:r>
      <w:r>
        <w:rPr>
          <w:rFonts w:ascii="Arial" w:hAnsi="Arial" w:cs="Arial"/>
          <w:sz w:val="20"/>
          <w:szCs w:val="20"/>
        </w:rPr>
        <w:t xml:space="preserve">Each document contains statistical information in relation to population, deprivation, quality of life, health and wellbeing, life expectancy, child poverty, crime, education, social care, housing and ethnicity, and can be viewed on the Councils website at </w:t>
      </w:r>
      <w:hyperlink r:id="rId11" w:history="1">
        <w:r w:rsidRPr="0078400B">
          <w:rPr>
            <w:rStyle w:val="Hyperlink"/>
            <w:rFonts w:ascii="Arial" w:hAnsi="Arial" w:cs="Arial"/>
            <w:sz w:val="20"/>
            <w:szCs w:val="20"/>
          </w:rPr>
          <w:t>https://www.bristol.gov.uk/statistics-census-information/new-wards-data-profiles</w:t>
        </w:r>
      </w:hyperlink>
    </w:p>
    <w:p w14:paraId="5346D2AC" w14:textId="77777777" w:rsidR="00F634B3" w:rsidRDefault="00F634B3" w:rsidP="003F6923">
      <w:pPr>
        <w:pStyle w:val="NoSpacing"/>
        <w:rPr>
          <w:rFonts w:ascii="Arial" w:hAnsi="Arial" w:cs="Arial"/>
          <w:sz w:val="20"/>
          <w:szCs w:val="20"/>
        </w:rPr>
      </w:pPr>
    </w:p>
    <w:p w14:paraId="5346D2AD" w14:textId="77777777" w:rsidR="006B7002" w:rsidRDefault="006B7002" w:rsidP="003F6923">
      <w:pPr>
        <w:pStyle w:val="NoSpacing"/>
        <w:rPr>
          <w:rFonts w:ascii="Arial" w:hAnsi="Arial" w:cs="Arial"/>
          <w:sz w:val="20"/>
          <w:szCs w:val="20"/>
        </w:rPr>
      </w:pPr>
    </w:p>
    <w:p w14:paraId="5346D2AE" w14:textId="77777777" w:rsidR="0050574E" w:rsidRDefault="0050574E" w:rsidP="003F6923">
      <w:pPr>
        <w:pStyle w:val="NoSpacing"/>
        <w:rPr>
          <w:rFonts w:ascii="Arial" w:hAnsi="Arial" w:cs="Arial"/>
          <w:sz w:val="20"/>
          <w:szCs w:val="20"/>
        </w:rPr>
      </w:pPr>
      <w:r>
        <w:rPr>
          <w:rFonts w:ascii="Arial" w:hAnsi="Arial" w:cs="Arial"/>
          <w:sz w:val="20"/>
          <w:szCs w:val="20"/>
        </w:rPr>
        <w:t xml:space="preserve">Information is also available by different themes such as geography and areas, environment, and business and economy, amongst others on the Open Data Bristol webpage. </w:t>
      </w:r>
    </w:p>
    <w:p w14:paraId="5346D2AF" w14:textId="77777777" w:rsidR="0050574E" w:rsidRDefault="0050574E" w:rsidP="003F6923">
      <w:pPr>
        <w:pStyle w:val="NoSpacing"/>
        <w:rPr>
          <w:rFonts w:ascii="Arial" w:hAnsi="Arial" w:cs="Arial"/>
          <w:sz w:val="20"/>
          <w:szCs w:val="20"/>
        </w:rPr>
      </w:pPr>
    </w:p>
    <w:p w14:paraId="5346D2B0" w14:textId="77777777" w:rsidR="00B50D4D" w:rsidRDefault="004E4FF0" w:rsidP="003F6923">
      <w:pPr>
        <w:pStyle w:val="NoSpacing"/>
        <w:rPr>
          <w:rFonts w:ascii="Arial" w:hAnsi="Arial" w:cs="Arial"/>
          <w:sz w:val="20"/>
          <w:szCs w:val="20"/>
        </w:rPr>
      </w:pPr>
      <w:r>
        <w:rPr>
          <w:rFonts w:ascii="Arial" w:hAnsi="Arial" w:cs="Arial"/>
          <w:sz w:val="20"/>
          <w:szCs w:val="20"/>
        </w:rPr>
        <w:t>I</w:t>
      </w:r>
      <w:r w:rsidR="00021C84">
        <w:rPr>
          <w:rFonts w:ascii="Arial" w:hAnsi="Arial" w:cs="Arial"/>
          <w:sz w:val="20"/>
          <w:szCs w:val="20"/>
        </w:rPr>
        <w:t xml:space="preserve">t is recommended as part of research when writing a </w:t>
      </w:r>
      <w:r>
        <w:rPr>
          <w:rFonts w:ascii="Arial" w:hAnsi="Arial" w:cs="Arial"/>
          <w:sz w:val="20"/>
          <w:szCs w:val="20"/>
        </w:rPr>
        <w:t>risk assessment, analysis of the area is undertaken by use</w:t>
      </w:r>
      <w:r w:rsidR="00E9326B">
        <w:rPr>
          <w:rFonts w:ascii="Arial" w:hAnsi="Arial" w:cs="Arial"/>
          <w:sz w:val="20"/>
          <w:szCs w:val="20"/>
        </w:rPr>
        <w:t xml:space="preserve"> of the online dataset profiles</w:t>
      </w:r>
      <w:r w:rsidR="00021C84">
        <w:rPr>
          <w:rFonts w:ascii="Arial" w:hAnsi="Arial" w:cs="Arial"/>
          <w:sz w:val="20"/>
          <w:szCs w:val="20"/>
        </w:rPr>
        <w:t>. This information is reviewed regularly by other areas of the Council.</w:t>
      </w:r>
      <w:r w:rsidR="00E9326B">
        <w:rPr>
          <w:rFonts w:ascii="Arial" w:hAnsi="Arial" w:cs="Arial"/>
          <w:sz w:val="20"/>
          <w:szCs w:val="20"/>
        </w:rPr>
        <w:t xml:space="preserve"> </w:t>
      </w:r>
    </w:p>
    <w:p w14:paraId="5346D2B1" w14:textId="77777777" w:rsidR="00B50D4D" w:rsidRDefault="00B50D4D" w:rsidP="003F6923">
      <w:pPr>
        <w:pStyle w:val="NoSpacing"/>
        <w:rPr>
          <w:rFonts w:ascii="Arial" w:hAnsi="Arial" w:cs="Arial"/>
          <w:sz w:val="20"/>
          <w:szCs w:val="20"/>
        </w:rPr>
      </w:pPr>
    </w:p>
    <w:p w14:paraId="5346D2B2" w14:textId="77777777" w:rsidR="004E4FF0" w:rsidRDefault="00B50D4D" w:rsidP="003F6923">
      <w:pPr>
        <w:pStyle w:val="NoSpacing"/>
        <w:rPr>
          <w:rFonts w:ascii="Arial" w:hAnsi="Arial" w:cs="Arial"/>
          <w:sz w:val="20"/>
          <w:szCs w:val="20"/>
        </w:rPr>
      </w:pPr>
      <w:r>
        <w:rPr>
          <w:rFonts w:ascii="Arial" w:hAnsi="Arial" w:cs="Arial"/>
          <w:sz w:val="20"/>
          <w:szCs w:val="20"/>
        </w:rPr>
        <w:t>As a further means of assistance, information on</w:t>
      </w:r>
      <w:r w:rsidR="00E9326B">
        <w:rPr>
          <w:rFonts w:ascii="Arial" w:hAnsi="Arial" w:cs="Arial"/>
          <w:sz w:val="20"/>
          <w:szCs w:val="20"/>
        </w:rPr>
        <w:t xml:space="preserve"> the number of premises currently licensed</w:t>
      </w:r>
      <w:r>
        <w:rPr>
          <w:rFonts w:ascii="Arial" w:hAnsi="Arial" w:cs="Arial"/>
          <w:sz w:val="20"/>
          <w:szCs w:val="20"/>
        </w:rPr>
        <w:t xml:space="preserve"> by ward can be found</w:t>
      </w:r>
      <w:r w:rsidR="00E9326B">
        <w:rPr>
          <w:rFonts w:ascii="Arial" w:hAnsi="Arial" w:cs="Arial"/>
          <w:sz w:val="20"/>
          <w:szCs w:val="20"/>
        </w:rPr>
        <w:t xml:space="preserve"> below.</w:t>
      </w:r>
    </w:p>
    <w:p w14:paraId="5346D2B3" w14:textId="77777777" w:rsidR="008B17F2" w:rsidRDefault="008B17F2" w:rsidP="003F6923">
      <w:pPr>
        <w:pStyle w:val="NoSpacing"/>
        <w:rPr>
          <w:rFonts w:ascii="Arial" w:hAnsi="Arial" w:cs="Arial"/>
          <w:sz w:val="20"/>
          <w:szCs w:val="20"/>
        </w:rPr>
      </w:pPr>
    </w:p>
    <w:p w14:paraId="5346D2B4" w14:textId="77777777" w:rsidR="00465FAB" w:rsidRDefault="00465FAB" w:rsidP="003F6923">
      <w:pPr>
        <w:pStyle w:val="NoSpacing"/>
        <w:rPr>
          <w:rFonts w:ascii="Arial" w:hAnsi="Arial" w:cs="Arial"/>
          <w:b/>
          <w:sz w:val="20"/>
          <w:szCs w:val="20"/>
        </w:rPr>
      </w:pPr>
      <w:r w:rsidRPr="0001157B">
        <w:rPr>
          <w:rFonts w:ascii="Arial" w:hAnsi="Arial" w:cs="Arial"/>
          <w:b/>
          <w:sz w:val="20"/>
          <w:szCs w:val="20"/>
        </w:rPr>
        <w:t>Gambling Premises</w:t>
      </w:r>
    </w:p>
    <w:p w14:paraId="5346D2B5" w14:textId="77777777" w:rsidR="00B56AD9" w:rsidRDefault="00B56AD9" w:rsidP="003F6923">
      <w:pPr>
        <w:pStyle w:val="NoSpacing"/>
        <w:rPr>
          <w:rFonts w:ascii="Arial" w:hAnsi="Arial" w:cs="Arial"/>
          <w:b/>
          <w:sz w:val="20"/>
          <w:szCs w:val="20"/>
        </w:rPr>
      </w:pPr>
    </w:p>
    <w:p w14:paraId="5346D2B6" w14:textId="4DF254CB" w:rsidR="00B56AD9" w:rsidRDefault="008B17F2" w:rsidP="003F6923">
      <w:pPr>
        <w:pStyle w:val="NoSpacing"/>
        <w:rPr>
          <w:rFonts w:ascii="Arial" w:hAnsi="Arial" w:cs="Arial"/>
          <w:sz w:val="20"/>
          <w:szCs w:val="20"/>
        </w:rPr>
      </w:pPr>
      <w:r>
        <w:rPr>
          <w:rFonts w:ascii="Arial" w:hAnsi="Arial" w:cs="Arial"/>
          <w:sz w:val="20"/>
          <w:szCs w:val="20"/>
        </w:rPr>
        <w:t xml:space="preserve">There are a number of </w:t>
      </w:r>
      <w:r w:rsidR="00246FFB">
        <w:rPr>
          <w:rFonts w:ascii="Arial" w:hAnsi="Arial" w:cs="Arial"/>
          <w:sz w:val="20"/>
          <w:szCs w:val="20"/>
        </w:rPr>
        <w:t>gambling</w:t>
      </w:r>
      <w:r>
        <w:rPr>
          <w:rFonts w:ascii="Arial" w:hAnsi="Arial" w:cs="Arial"/>
          <w:sz w:val="20"/>
          <w:szCs w:val="20"/>
        </w:rPr>
        <w:t xml:space="preserve"> premises in </w:t>
      </w:r>
      <w:r w:rsidR="00246FFB">
        <w:rPr>
          <w:rFonts w:ascii="Arial" w:hAnsi="Arial" w:cs="Arial"/>
          <w:sz w:val="20"/>
          <w:szCs w:val="20"/>
        </w:rPr>
        <w:t xml:space="preserve">place in </w:t>
      </w:r>
      <w:r>
        <w:rPr>
          <w:rFonts w:ascii="Arial" w:hAnsi="Arial" w:cs="Arial"/>
          <w:sz w:val="20"/>
          <w:szCs w:val="20"/>
        </w:rPr>
        <w:t>Bristol</w:t>
      </w:r>
      <w:r w:rsidR="002606B9">
        <w:rPr>
          <w:rFonts w:ascii="Arial" w:hAnsi="Arial" w:cs="Arial"/>
          <w:sz w:val="20"/>
          <w:szCs w:val="20"/>
        </w:rPr>
        <w:t xml:space="preserve"> (as of </w:t>
      </w:r>
      <w:r w:rsidR="00944A1B">
        <w:rPr>
          <w:rFonts w:ascii="Arial" w:hAnsi="Arial" w:cs="Arial"/>
          <w:sz w:val="20"/>
          <w:szCs w:val="20"/>
        </w:rPr>
        <w:t>17 April</w:t>
      </w:r>
      <w:r w:rsidR="0001029B">
        <w:rPr>
          <w:rFonts w:ascii="Arial" w:hAnsi="Arial" w:cs="Arial"/>
          <w:sz w:val="20"/>
          <w:szCs w:val="20"/>
        </w:rPr>
        <w:t xml:space="preserve"> 202</w:t>
      </w:r>
      <w:r w:rsidR="00944A1B">
        <w:rPr>
          <w:rFonts w:ascii="Arial" w:hAnsi="Arial" w:cs="Arial"/>
          <w:sz w:val="20"/>
          <w:szCs w:val="20"/>
        </w:rPr>
        <w:t>4</w:t>
      </w:r>
      <w:r w:rsidR="002606B9">
        <w:rPr>
          <w:rFonts w:ascii="Arial" w:hAnsi="Arial" w:cs="Arial"/>
          <w:sz w:val="20"/>
          <w:szCs w:val="20"/>
        </w:rPr>
        <w:t>)</w:t>
      </w:r>
      <w:r>
        <w:rPr>
          <w:rFonts w:ascii="Arial" w:hAnsi="Arial" w:cs="Arial"/>
          <w:sz w:val="20"/>
          <w:szCs w:val="20"/>
        </w:rPr>
        <w:t>;</w:t>
      </w:r>
    </w:p>
    <w:p w14:paraId="5346D2B7" w14:textId="77777777" w:rsidR="008B17F2" w:rsidRDefault="008B17F2" w:rsidP="003F6923">
      <w:pPr>
        <w:pStyle w:val="NoSpacing"/>
        <w:rPr>
          <w:rFonts w:ascii="Arial" w:hAnsi="Arial" w:cs="Arial"/>
          <w:sz w:val="20"/>
          <w:szCs w:val="20"/>
        </w:rPr>
      </w:pPr>
    </w:p>
    <w:p w14:paraId="5346D2B8" w14:textId="613CE50C" w:rsidR="008B17F2" w:rsidRDefault="000854F3" w:rsidP="003F6923">
      <w:pPr>
        <w:pStyle w:val="NoSpacing"/>
        <w:rPr>
          <w:rFonts w:ascii="Arial" w:hAnsi="Arial" w:cs="Arial"/>
          <w:sz w:val="20"/>
          <w:szCs w:val="20"/>
        </w:rPr>
      </w:pPr>
      <w:r w:rsidRPr="00742DFD">
        <w:rPr>
          <w:rFonts w:ascii="Arial" w:hAnsi="Arial" w:cs="Arial"/>
          <w:sz w:val="20"/>
          <w:szCs w:val="20"/>
          <w:u w:val="single"/>
        </w:rPr>
        <w:t>Betting (Non Track)</w:t>
      </w:r>
      <w:r>
        <w:rPr>
          <w:rFonts w:ascii="Arial" w:hAnsi="Arial" w:cs="Arial"/>
          <w:sz w:val="20"/>
          <w:szCs w:val="20"/>
        </w:rPr>
        <w:t xml:space="preserve"> </w:t>
      </w:r>
      <w:r w:rsidR="00742DFD">
        <w:rPr>
          <w:rFonts w:ascii="Arial" w:hAnsi="Arial" w:cs="Arial"/>
          <w:sz w:val="20"/>
          <w:szCs w:val="20"/>
        </w:rPr>
        <w:tab/>
      </w:r>
      <w:r w:rsidR="00742DFD">
        <w:rPr>
          <w:rFonts w:ascii="Arial" w:hAnsi="Arial" w:cs="Arial"/>
          <w:sz w:val="20"/>
          <w:szCs w:val="20"/>
        </w:rPr>
        <w:tab/>
      </w:r>
      <w:r w:rsidR="0001029B">
        <w:rPr>
          <w:rFonts w:ascii="Arial" w:hAnsi="Arial" w:cs="Arial"/>
          <w:b/>
          <w:sz w:val="20"/>
          <w:szCs w:val="20"/>
        </w:rPr>
        <w:t>4</w:t>
      </w:r>
      <w:r w:rsidR="00AE172D">
        <w:rPr>
          <w:rFonts w:ascii="Arial" w:hAnsi="Arial" w:cs="Arial"/>
          <w:b/>
          <w:sz w:val="20"/>
          <w:szCs w:val="20"/>
        </w:rPr>
        <w:t>0</w:t>
      </w:r>
    </w:p>
    <w:p w14:paraId="5346D2B9" w14:textId="77777777" w:rsidR="001867BB" w:rsidRDefault="001867BB" w:rsidP="003F6923">
      <w:pPr>
        <w:pStyle w:val="NoSpacing"/>
        <w:rPr>
          <w:rFonts w:ascii="Arial" w:hAnsi="Arial" w:cs="Arial"/>
          <w:sz w:val="20"/>
          <w:szCs w:val="20"/>
        </w:rPr>
      </w:pPr>
    </w:p>
    <w:p w14:paraId="5346D2BA" w14:textId="77777777" w:rsidR="00E9326B" w:rsidRDefault="00E9326B" w:rsidP="003F6923">
      <w:pPr>
        <w:pStyle w:val="NoSpacing"/>
        <w:rPr>
          <w:rFonts w:ascii="Arial" w:hAnsi="Arial" w:cs="Arial"/>
          <w:sz w:val="20"/>
          <w:szCs w:val="20"/>
        </w:rPr>
        <w:sectPr w:rsidR="00E9326B" w:rsidSect="007C4FB4">
          <w:footerReference w:type="default" r:id="rId12"/>
          <w:pgSz w:w="11906" w:h="16838"/>
          <w:pgMar w:top="1440" w:right="1440" w:bottom="1440" w:left="1440" w:header="708" w:footer="708" w:gutter="0"/>
          <w:cols w:space="708"/>
          <w:docGrid w:linePitch="360"/>
        </w:sectPr>
      </w:pPr>
    </w:p>
    <w:p w14:paraId="5346D2BB" w14:textId="77777777" w:rsidR="00F57751" w:rsidRDefault="00E9326B" w:rsidP="003F6923">
      <w:pPr>
        <w:pStyle w:val="NoSpacing"/>
        <w:rPr>
          <w:rFonts w:ascii="Arial" w:hAnsi="Arial" w:cs="Arial"/>
          <w:sz w:val="20"/>
          <w:szCs w:val="20"/>
        </w:rPr>
      </w:pPr>
      <w:r>
        <w:rPr>
          <w:rFonts w:ascii="Arial" w:hAnsi="Arial" w:cs="Arial"/>
          <w:sz w:val="20"/>
          <w:szCs w:val="20"/>
        </w:rPr>
        <w:t xml:space="preserve">Ashley </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00361620">
        <w:rPr>
          <w:rFonts w:ascii="Arial" w:hAnsi="Arial" w:cs="Arial"/>
          <w:sz w:val="20"/>
          <w:szCs w:val="20"/>
        </w:rPr>
        <w:t>1</w:t>
      </w:r>
    </w:p>
    <w:p w14:paraId="5346D2BC" w14:textId="77777777" w:rsidR="00F57751" w:rsidRDefault="00E9326B" w:rsidP="003F6923">
      <w:pPr>
        <w:pStyle w:val="NoSpacing"/>
        <w:rPr>
          <w:rFonts w:ascii="Arial" w:hAnsi="Arial" w:cs="Arial"/>
          <w:sz w:val="20"/>
          <w:szCs w:val="20"/>
        </w:rPr>
      </w:pPr>
      <w:r>
        <w:rPr>
          <w:rFonts w:ascii="Arial" w:hAnsi="Arial" w:cs="Arial"/>
          <w:sz w:val="20"/>
          <w:szCs w:val="20"/>
        </w:rPr>
        <w:t>Avonmouth &amp; Lawrence Weston</w:t>
      </w:r>
      <w:r w:rsidR="00361620">
        <w:rPr>
          <w:rFonts w:ascii="Arial" w:hAnsi="Arial" w:cs="Arial"/>
          <w:sz w:val="20"/>
          <w:szCs w:val="20"/>
        </w:rPr>
        <w:t>3</w:t>
      </w:r>
    </w:p>
    <w:p w14:paraId="5346D2BD" w14:textId="77777777" w:rsidR="00F57751" w:rsidRDefault="00E9326B" w:rsidP="003F6923">
      <w:pPr>
        <w:pStyle w:val="NoSpacing"/>
        <w:rPr>
          <w:rFonts w:ascii="Arial" w:hAnsi="Arial" w:cs="Arial"/>
          <w:sz w:val="20"/>
          <w:szCs w:val="20"/>
        </w:rPr>
      </w:pPr>
      <w:r>
        <w:rPr>
          <w:rFonts w:ascii="Arial" w:hAnsi="Arial" w:cs="Arial"/>
          <w:sz w:val="20"/>
          <w:szCs w:val="20"/>
        </w:rPr>
        <w:t xml:space="preserve">Bedminster </w:t>
      </w:r>
      <w:r>
        <w:rPr>
          <w:rFonts w:ascii="Arial" w:hAnsi="Arial" w:cs="Arial"/>
          <w:sz w:val="20"/>
          <w:szCs w:val="20"/>
        </w:rPr>
        <w:tab/>
      </w:r>
      <w:r>
        <w:rPr>
          <w:rFonts w:ascii="Arial" w:hAnsi="Arial" w:cs="Arial"/>
          <w:sz w:val="20"/>
          <w:szCs w:val="20"/>
        </w:rPr>
        <w:tab/>
      </w:r>
      <w:r>
        <w:rPr>
          <w:rFonts w:ascii="Arial" w:hAnsi="Arial" w:cs="Arial"/>
          <w:sz w:val="20"/>
          <w:szCs w:val="20"/>
        </w:rPr>
        <w:tab/>
      </w:r>
      <w:r w:rsidR="00361620">
        <w:rPr>
          <w:rFonts w:ascii="Arial" w:hAnsi="Arial" w:cs="Arial"/>
          <w:sz w:val="20"/>
          <w:szCs w:val="20"/>
        </w:rPr>
        <w:t>0</w:t>
      </w:r>
    </w:p>
    <w:p w14:paraId="5346D2BE" w14:textId="77777777" w:rsidR="00F57751" w:rsidRDefault="00E9326B" w:rsidP="003F6923">
      <w:pPr>
        <w:pStyle w:val="NoSpacing"/>
        <w:rPr>
          <w:rFonts w:ascii="Arial" w:hAnsi="Arial" w:cs="Arial"/>
          <w:sz w:val="20"/>
          <w:szCs w:val="20"/>
        </w:rPr>
      </w:pPr>
      <w:r>
        <w:rPr>
          <w:rFonts w:ascii="Arial" w:hAnsi="Arial" w:cs="Arial"/>
          <w:sz w:val="20"/>
          <w:szCs w:val="20"/>
        </w:rPr>
        <w:t xml:space="preserve">Bishopston &amp; Ashley Down </w:t>
      </w:r>
      <w:r>
        <w:rPr>
          <w:rFonts w:ascii="Arial" w:hAnsi="Arial" w:cs="Arial"/>
          <w:sz w:val="20"/>
          <w:szCs w:val="20"/>
        </w:rPr>
        <w:tab/>
      </w:r>
      <w:r w:rsidR="00361620">
        <w:rPr>
          <w:rFonts w:ascii="Arial" w:hAnsi="Arial" w:cs="Arial"/>
          <w:sz w:val="20"/>
          <w:szCs w:val="20"/>
        </w:rPr>
        <w:t>1</w:t>
      </w:r>
    </w:p>
    <w:p w14:paraId="5346D2BF" w14:textId="77777777" w:rsidR="00F57751" w:rsidRDefault="00E9326B" w:rsidP="003F6923">
      <w:pPr>
        <w:pStyle w:val="NoSpacing"/>
        <w:rPr>
          <w:rFonts w:ascii="Arial" w:hAnsi="Arial" w:cs="Arial"/>
          <w:sz w:val="20"/>
          <w:szCs w:val="20"/>
        </w:rPr>
      </w:pPr>
      <w:r>
        <w:rPr>
          <w:rFonts w:ascii="Arial" w:hAnsi="Arial" w:cs="Arial"/>
          <w:sz w:val="20"/>
          <w:szCs w:val="20"/>
        </w:rPr>
        <w:t xml:space="preserve">Bishopsworth </w:t>
      </w:r>
      <w:r>
        <w:rPr>
          <w:rFonts w:ascii="Arial" w:hAnsi="Arial" w:cs="Arial"/>
          <w:sz w:val="20"/>
          <w:szCs w:val="20"/>
        </w:rPr>
        <w:tab/>
      </w:r>
      <w:r>
        <w:rPr>
          <w:rFonts w:ascii="Arial" w:hAnsi="Arial" w:cs="Arial"/>
          <w:sz w:val="20"/>
          <w:szCs w:val="20"/>
        </w:rPr>
        <w:tab/>
      </w:r>
      <w:r>
        <w:rPr>
          <w:rFonts w:ascii="Arial" w:hAnsi="Arial" w:cs="Arial"/>
          <w:sz w:val="20"/>
          <w:szCs w:val="20"/>
        </w:rPr>
        <w:tab/>
        <w:t>0</w:t>
      </w:r>
    </w:p>
    <w:p w14:paraId="5346D2C0" w14:textId="77777777" w:rsidR="00F57751" w:rsidRDefault="00E9326B" w:rsidP="003F6923">
      <w:pPr>
        <w:pStyle w:val="NoSpacing"/>
        <w:rPr>
          <w:rFonts w:ascii="Arial" w:hAnsi="Arial" w:cs="Arial"/>
          <w:sz w:val="20"/>
          <w:szCs w:val="20"/>
        </w:rPr>
      </w:pPr>
      <w:r>
        <w:rPr>
          <w:rFonts w:ascii="Arial" w:hAnsi="Arial" w:cs="Arial"/>
          <w:sz w:val="20"/>
          <w:szCs w:val="20"/>
        </w:rPr>
        <w:t xml:space="preserve">Brislington East </w:t>
      </w:r>
      <w:r>
        <w:rPr>
          <w:rFonts w:ascii="Arial" w:hAnsi="Arial" w:cs="Arial"/>
          <w:sz w:val="20"/>
          <w:szCs w:val="20"/>
        </w:rPr>
        <w:tab/>
      </w:r>
      <w:r>
        <w:rPr>
          <w:rFonts w:ascii="Arial" w:hAnsi="Arial" w:cs="Arial"/>
          <w:sz w:val="20"/>
          <w:szCs w:val="20"/>
        </w:rPr>
        <w:tab/>
        <w:t>0</w:t>
      </w:r>
    </w:p>
    <w:p w14:paraId="5346D2C1" w14:textId="77777777" w:rsidR="00F57751" w:rsidRDefault="00E9326B" w:rsidP="00F57751">
      <w:pPr>
        <w:pStyle w:val="NoSpacing"/>
        <w:rPr>
          <w:rFonts w:ascii="Arial" w:hAnsi="Arial" w:cs="Arial"/>
          <w:sz w:val="20"/>
          <w:szCs w:val="20"/>
        </w:rPr>
      </w:pPr>
      <w:r>
        <w:rPr>
          <w:rFonts w:ascii="Arial" w:hAnsi="Arial" w:cs="Arial"/>
          <w:sz w:val="20"/>
          <w:szCs w:val="20"/>
        </w:rPr>
        <w:t xml:space="preserve">Brislington West </w:t>
      </w:r>
      <w:r>
        <w:rPr>
          <w:rFonts w:ascii="Arial" w:hAnsi="Arial" w:cs="Arial"/>
          <w:sz w:val="20"/>
          <w:szCs w:val="20"/>
        </w:rPr>
        <w:tab/>
      </w:r>
      <w:r>
        <w:rPr>
          <w:rFonts w:ascii="Arial" w:hAnsi="Arial" w:cs="Arial"/>
          <w:sz w:val="20"/>
          <w:szCs w:val="20"/>
        </w:rPr>
        <w:tab/>
        <w:t>1</w:t>
      </w:r>
    </w:p>
    <w:p w14:paraId="5346D2C2" w14:textId="77777777" w:rsidR="00F57751" w:rsidRDefault="00E9326B" w:rsidP="003F6923">
      <w:pPr>
        <w:pStyle w:val="NoSpacing"/>
        <w:rPr>
          <w:rFonts w:ascii="Arial" w:hAnsi="Arial" w:cs="Arial"/>
          <w:sz w:val="20"/>
          <w:szCs w:val="20"/>
        </w:rPr>
      </w:pPr>
      <w:r>
        <w:rPr>
          <w:rFonts w:ascii="Arial" w:hAnsi="Arial" w:cs="Arial"/>
          <w:sz w:val="20"/>
          <w:szCs w:val="20"/>
        </w:rPr>
        <w:t xml:space="preserve">Central </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00361620">
        <w:rPr>
          <w:rFonts w:ascii="Arial" w:hAnsi="Arial" w:cs="Arial"/>
          <w:sz w:val="20"/>
          <w:szCs w:val="20"/>
        </w:rPr>
        <w:t>5</w:t>
      </w:r>
    </w:p>
    <w:p w14:paraId="5346D2C3" w14:textId="77777777" w:rsidR="00F57751" w:rsidRDefault="00E9326B" w:rsidP="003F6923">
      <w:pPr>
        <w:pStyle w:val="NoSpacing"/>
        <w:rPr>
          <w:rFonts w:ascii="Arial" w:hAnsi="Arial" w:cs="Arial"/>
          <w:sz w:val="20"/>
          <w:szCs w:val="20"/>
        </w:rPr>
      </w:pPr>
      <w:r>
        <w:rPr>
          <w:rFonts w:ascii="Arial" w:hAnsi="Arial" w:cs="Arial"/>
          <w:sz w:val="20"/>
          <w:szCs w:val="20"/>
        </w:rPr>
        <w:t xml:space="preserve">Clifton </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0</w:t>
      </w:r>
    </w:p>
    <w:p w14:paraId="5346D2C4" w14:textId="77777777" w:rsidR="00F57751" w:rsidRDefault="00F57751" w:rsidP="003F6923">
      <w:pPr>
        <w:pStyle w:val="NoSpacing"/>
        <w:rPr>
          <w:rFonts w:ascii="Arial" w:hAnsi="Arial" w:cs="Arial"/>
          <w:sz w:val="20"/>
          <w:szCs w:val="20"/>
        </w:rPr>
      </w:pPr>
      <w:r>
        <w:rPr>
          <w:rFonts w:ascii="Arial" w:hAnsi="Arial" w:cs="Arial"/>
          <w:sz w:val="20"/>
          <w:szCs w:val="20"/>
        </w:rPr>
        <w:t xml:space="preserve">Clifton Down </w:t>
      </w:r>
      <w:r w:rsidR="00E9326B">
        <w:rPr>
          <w:rFonts w:ascii="Arial" w:hAnsi="Arial" w:cs="Arial"/>
          <w:sz w:val="20"/>
          <w:szCs w:val="20"/>
        </w:rPr>
        <w:tab/>
      </w:r>
      <w:r w:rsidR="00E9326B">
        <w:rPr>
          <w:rFonts w:ascii="Arial" w:hAnsi="Arial" w:cs="Arial"/>
          <w:sz w:val="20"/>
          <w:szCs w:val="20"/>
        </w:rPr>
        <w:tab/>
      </w:r>
      <w:r w:rsidR="00E9326B">
        <w:rPr>
          <w:rFonts w:ascii="Arial" w:hAnsi="Arial" w:cs="Arial"/>
          <w:sz w:val="20"/>
          <w:szCs w:val="20"/>
        </w:rPr>
        <w:tab/>
        <w:t>1</w:t>
      </w:r>
    </w:p>
    <w:p w14:paraId="5346D2C5" w14:textId="77777777" w:rsidR="00F57751" w:rsidRDefault="00E9326B" w:rsidP="003F6923">
      <w:pPr>
        <w:pStyle w:val="NoSpacing"/>
        <w:rPr>
          <w:rFonts w:ascii="Arial" w:hAnsi="Arial" w:cs="Arial"/>
          <w:sz w:val="20"/>
          <w:szCs w:val="20"/>
        </w:rPr>
      </w:pPr>
      <w:r>
        <w:rPr>
          <w:rFonts w:ascii="Arial" w:hAnsi="Arial" w:cs="Arial"/>
          <w:sz w:val="20"/>
          <w:szCs w:val="20"/>
        </w:rPr>
        <w:t xml:space="preserve">Cotham </w:t>
      </w:r>
      <w:r>
        <w:rPr>
          <w:rFonts w:ascii="Arial" w:hAnsi="Arial" w:cs="Arial"/>
          <w:sz w:val="20"/>
          <w:szCs w:val="20"/>
        </w:rPr>
        <w:tab/>
      </w:r>
      <w:r>
        <w:rPr>
          <w:rFonts w:ascii="Arial" w:hAnsi="Arial" w:cs="Arial"/>
          <w:sz w:val="20"/>
          <w:szCs w:val="20"/>
        </w:rPr>
        <w:tab/>
      </w:r>
      <w:r>
        <w:rPr>
          <w:rFonts w:ascii="Arial" w:hAnsi="Arial" w:cs="Arial"/>
          <w:sz w:val="20"/>
          <w:szCs w:val="20"/>
        </w:rPr>
        <w:tab/>
        <w:t>0</w:t>
      </w:r>
    </w:p>
    <w:p w14:paraId="5346D2C6" w14:textId="77777777" w:rsidR="001867BB" w:rsidRDefault="001867BB" w:rsidP="003F6923">
      <w:pPr>
        <w:pStyle w:val="NoSpacing"/>
        <w:rPr>
          <w:rFonts w:ascii="Arial" w:hAnsi="Arial" w:cs="Arial"/>
          <w:sz w:val="20"/>
          <w:szCs w:val="20"/>
        </w:rPr>
      </w:pPr>
      <w:r>
        <w:rPr>
          <w:rFonts w:ascii="Arial" w:hAnsi="Arial" w:cs="Arial"/>
          <w:sz w:val="20"/>
          <w:szCs w:val="20"/>
        </w:rPr>
        <w:t>Easton</w:t>
      </w:r>
      <w:r w:rsidR="00E9326B">
        <w:rPr>
          <w:rFonts w:ascii="Arial" w:hAnsi="Arial" w:cs="Arial"/>
          <w:sz w:val="20"/>
          <w:szCs w:val="20"/>
        </w:rPr>
        <w:t xml:space="preserve"> </w:t>
      </w:r>
      <w:r w:rsidR="00E9326B">
        <w:rPr>
          <w:rFonts w:ascii="Arial" w:hAnsi="Arial" w:cs="Arial"/>
          <w:sz w:val="20"/>
          <w:szCs w:val="20"/>
        </w:rPr>
        <w:tab/>
      </w:r>
      <w:r w:rsidR="00E9326B">
        <w:rPr>
          <w:rFonts w:ascii="Arial" w:hAnsi="Arial" w:cs="Arial"/>
          <w:sz w:val="20"/>
          <w:szCs w:val="20"/>
        </w:rPr>
        <w:tab/>
      </w:r>
      <w:r w:rsidR="00E9326B">
        <w:rPr>
          <w:rFonts w:ascii="Arial" w:hAnsi="Arial" w:cs="Arial"/>
          <w:sz w:val="20"/>
          <w:szCs w:val="20"/>
        </w:rPr>
        <w:tab/>
      </w:r>
      <w:r w:rsidR="00E9326B">
        <w:rPr>
          <w:rFonts w:ascii="Arial" w:hAnsi="Arial" w:cs="Arial"/>
          <w:sz w:val="20"/>
          <w:szCs w:val="20"/>
        </w:rPr>
        <w:tab/>
      </w:r>
      <w:r w:rsidR="00361620">
        <w:rPr>
          <w:rFonts w:ascii="Arial" w:hAnsi="Arial" w:cs="Arial"/>
          <w:sz w:val="20"/>
          <w:szCs w:val="20"/>
        </w:rPr>
        <w:t>4</w:t>
      </w:r>
    </w:p>
    <w:p w14:paraId="5346D2C7" w14:textId="77777777" w:rsidR="00F57751" w:rsidRDefault="00F57751" w:rsidP="003F6923">
      <w:pPr>
        <w:pStyle w:val="NoSpacing"/>
        <w:rPr>
          <w:rFonts w:ascii="Arial" w:hAnsi="Arial" w:cs="Arial"/>
          <w:sz w:val="20"/>
          <w:szCs w:val="20"/>
        </w:rPr>
      </w:pPr>
      <w:r>
        <w:rPr>
          <w:rFonts w:ascii="Arial" w:hAnsi="Arial" w:cs="Arial"/>
          <w:sz w:val="20"/>
          <w:szCs w:val="20"/>
        </w:rPr>
        <w:t>Eastville</w:t>
      </w:r>
      <w:r w:rsidR="00E9326B">
        <w:rPr>
          <w:rFonts w:ascii="Arial" w:hAnsi="Arial" w:cs="Arial"/>
          <w:sz w:val="20"/>
          <w:szCs w:val="20"/>
        </w:rPr>
        <w:t xml:space="preserve"> </w:t>
      </w:r>
      <w:r w:rsidR="00E9326B">
        <w:rPr>
          <w:rFonts w:ascii="Arial" w:hAnsi="Arial" w:cs="Arial"/>
          <w:sz w:val="20"/>
          <w:szCs w:val="20"/>
        </w:rPr>
        <w:tab/>
      </w:r>
      <w:r w:rsidR="00E9326B">
        <w:rPr>
          <w:rFonts w:ascii="Arial" w:hAnsi="Arial" w:cs="Arial"/>
          <w:sz w:val="20"/>
          <w:szCs w:val="20"/>
        </w:rPr>
        <w:tab/>
      </w:r>
      <w:r w:rsidR="00E9326B">
        <w:rPr>
          <w:rFonts w:ascii="Arial" w:hAnsi="Arial" w:cs="Arial"/>
          <w:sz w:val="20"/>
          <w:szCs w:val="20"/>
        </w:rPr>
        <w:tab/>
      </w:r>
      <w:r w:rsidR="00361620">
        <w:rPr>
          <w:rFonts w:ascii="Arial" w:hAnsi="Arial" w:cs="Arial"/>
          <w:sz w:val="20"/>
          <w:szCs w:val="20"/>
        </w:rPr>
        <w:t>0</w:t>
      </w:r>
    </w:p>
    <w:p w14:paraId="5346D2C8" w14:textId="77777777" w:rsidR="00D17307" w:rsidRDefault="00E9326B" w:rsidP="003F6923">
      <w:pPr>
        <w:pStyle w:val="NoSpacing"/>
        <w:rPr>
          <w:rFonts w:ascii="Arial" w:hAnsi="Arial" w:cs="Arial"/>
          <w:sz w:val="20"/>
          <w:szCs w:val="20"/>
        </w:rPr>
      </w:pPr>
      <w:r>
        <w:rPr>
          <w:rFonts w:ascii="Arial" w:hAnsi="Arial" w:cs="Arial"/>
          <w:sz w:val="20"/>
          <w:szCs w:val="20"/>
        </w:rPr>
        <w:t xml:space="preserve">Filwood </w:t>
      </w:r>
      <w:r>
        <w:rPr>
          <w:rFonts w:ascii="Arial" w:hAnsi="Arial" w:cs="Arial"/>
          <w:sz w:val="20"/>
          <w:szCs w:val="20"/>
        </w:rPr>
        <w:tab/>
      </w:r>
      <w:r>
        <w:rPr>
          <w:rFonts w:ascii="Arial" w:hAnsi="Arial" w:cs="Arial"/>
          <w:sz w:val="20"/>
          <w:szCs w:val="20"/>
        </w:rPr>
        <w:tab/>
      </w:r>
      <w:r>
        <w:rPr>
          <w:rFonts w:ascii="Arial" w:hAnsi="Arial" w:cs="Arial"/>
          <w:sz w:val="20"/>
          <w:szCs w:val="20"/>
        </w:rPr>
        <w:tab/>
        <w:t>1</w:t>
      </w:r>
    </w:p>
    <w:p w14:paraId="5346D2C9" w14:textId="77777777" w:rsidR="001867BB" w:rsidRDefault="001867BB" w:rsidP="003F6923">
      <w:pPr>
        <w:pStyle w:val="NoSpacing"/>
        <w:rPr>
          <w:rFonts w:ascii="Arial" w:hAnsi="Arial" w:cs="Arial"/>
          <w:sz w:val="20"/>
          <w:szCs w:val="20"/>
        </w:rPr>
      </w:pPr>
      <w:r>
        <w:rPr>
          <w:rFonts w:ascii="Arial" w:hAnsi="Arial" w:cs="Arial"/>
          <w:sz w:val="20"/>
          <w:szCs w:val="20"/>
        </w:rPr>
        <w:t>Frome Vale</w:t>
      </w:r>
      <w:r w:rsidR="00E9326B">
        <w:rPr>
          <w:rFonts w:ascii="Arial" w:hAnsi="Arial" w:cs="Arial"/>
          <w:sz w:val="20"/>
          <w:szCs w:val="20"/>
        </w:rPr>
        <w:t xml:space="preserve"> </w:t>
      </w:r>
      <w:r w:rsidR="00E9326B">
        <w:rPr>
          <w:rFonts w:ascii="Arial" w:hAnsi="Arial" w:cs="Arial"/>
          <w:sz w:val="20"/>
          <w:szCs w:val="20"/>
        </w:rPr>
        <w:tab/>
      </w:r>
      <w:r w:rsidR="00E9326B">
        <w:rPr>
          <w:rFonts w:ascii="Arial" w:hAnsi="Arial" w:cs="Arial"/>
          <w:sz w:val="20"/>
          <w:szCs w:val="20"/>
        </w:rPr>
        <w:tab/>
      </w:r>
      <w:r w:rsidR="00E9326B">
        <w:rPr>
          <w:rFonts w:ascii="Arial" w:hAnsi="Arial" w:cs="Arial"/>
          <w:sz w:val="20"/>
          <w:szCs w:val="20"/>
        </w:rPr>
        <w:tab/>
        <w:t>3</w:t>
      </w:r>
    </w:p>
    <w:p w14:paraId="5346D2CA" w14:textId="77777777" w:rsidR="003A1148" w:rsidRDefault="00E9326B" w:rsidP="003F6923">
      <w:pPr>
        <w:pStyle w:val="NoSpacing"/>
        <w:rPr>
          <w:rFonts w:ascii="Arial" w:hAnsi="Arial" w:cs="Arial"/>
          <w:sz w:val="20"/>
          <w:szCs w:val="20"/>
        </w:rPr>
      </w:pPr>
      <w:r>
        <w:rPr>
          <w:rFonts w:ascii="Arial" w:hAnsi="Arial" w:cs="Arial"/>
          <w:sz w:val="20"/>
          <w:szCs w:val="20"/>
        </w:rPr>
        <w:t xml:space="preserve">Hartcliffe &amp; Withywood </w:t>
      </w:r>
      <w:r>
        <w:rPr>
          <w:rFonts w:ascii="Arial" w:hAnsi="Arial" w:cs="Arial"/>
          <w:sz w:val="20"/>
          <w:szCs w:val="20"/>
        </w:rPr>
        <w:tab/>
      </w:r>
      <w:r>
        <w:rPr>
          <w:rFonts w:ascii="Arial" w:hAnsi="Arial" w:cs="Arial"/>
          <w:sz w:val="20"/>
          <w:szCs w:val="20"/>
        </w:rPr>
        <w:tab/>
        <w:t>2</w:t>
      </w:r>
    </w:p>
    <w:p w14:paraId="5346D2CB" w14:textId="77777777" w:rsidR="003A1148" w:rsidRDefault="00E9326B" w:rsidP="003F6923">
      <w:pPr>
        <w:pStyle w:val="NoSpacing"/>
        <w:rPr>
          <w:rFonts w:ascii="Arial" w:hAnsi="Arial" w:cs="Arial"/>
          <w:sz w:val="20"/>
          <w:szCs w:val="20"/>
        </w:rPr>
      </w:pPr>
      <w:r>
        <w:rPr>
          <w:rFonts w:ascii="Arial" w:hAnsi="Arial" w:cs="Arial"/>
          <w:sz w:val="20"/>
          <w:szCs w:val="20"/>
        </w:rPr>
        <w:t xml:space="preserve">Henbury &amp; Brentry </w:t>
      </w:r>
      <w:r>
        <w:rPr>
          <w:rFonts w:ascii="Arial" w:hAnsi="Arial" w:cs="Arial"/>
          <w:sz w:val="20"/>
          <w:szCs w:val="20"/>
        </w:rPr>
        <w:tab/>
      </w:r>
      <w:r>
        <w:rPr>
          <w:rFonts w:ascii="Arial" w:hAnsi="Arial" w:cs="Arial"/>
          <w:sz w:val="20"/>
          <w:szCs w:val="20"/>
        </w:rPr>
        <w:tab/>
        <w:t>1</w:t>
      </w:r>
    </w:p>
    <w:p w14:paraId="5346D2CC" w14:textId="77777777" w:rsidR="00EB13AC" w:rsidRDefault="00E9326B" w:rsidP="003F6923">
      <w:pPr>
        <w:pStyle w:val="NoSpacing"/>
        <w:rPr>
          <w:rFonts w:ascii="Arial" w:hAnsi="Arial" w:cs="Arial"/>
          <w:sz w:val="20"/>
          <w:szCs w:val="20"/>
        </w:rPr>
      </w:pPr>
      <w:r>
        <w:rPr>
          <w:rFonts w:ascii="Arial" w:hAnsi="Arial" w:cs="Arial"/>
          <w:sz w:val="20"/>
          <w:szCs w:val="20"/>
        </w:rPr>
        <w:t xml:space="preserve">Hengrove &amp; Whitchurch Park </w:t>
      </w:r>
      <w:r>
        <w:rPr>
          <w:rFonts w:ascii="Arial" w:hAnsi="Arial" w:cs="Arial"/>
          <w:sz w:val="20"/>
          <w:szCs w:val="20"/>
        </w:rPr>
        <w:tab/>
      </w:r>
      <w:r w:rsidR="00361620">
        <w:rPr>
          <w:rFonts w:ascii="Arial" w:hAnsi="Arial" w:cs="Arial"/>
          <w:sz w:val="20"/>
          <w:szCs w:val="20"/>
        </w:rPr>
        <w:t>2</w:t>
      </w:r>
    </w:p>
    <w:p w14:paraId="5346D2CD" w14:textId="77777777" w:rsidR="00EB13AC" w:rsidRDefault="00E9326B" w:rsidP="003F6923">
      <w:pPr>
        <w:pStyle w:val="NoSpacing"/>
        <w:rPr>
          <w:rFonts w:ascii="Arial" w:hAnsi="Arial" w:cs="Arial"/>
          <w:sz w:val="20"/>
          <w:szCs w:val="20"/>
        </w:rPr>
      </w:pPr>
      <w:r>
        <w:rPr>
          <w:rFonts w:ascii="Arial" w:hAnsi="Arial" w:cs="Arial"/>
          <w:sz w:val="20"/>
          <w:szCs w:val="20"/>
        </w:rPr>
        <w:t xml:space="preserve">Hillfields </w:t>
      </w:r>
      <w:r>
        <w:rPr>
          <w:rFonts w:ascii="Arial" w:hAnsi="Arial" w:cs="Arial"/>
          <w:sz w:val="20"/>
          <w:szCs w:val="20"/>
        </w:rPr>
        <w:tab/>
      </w:r>
      <w:r>
        <w:rPr>
          <w:rFonts w:ascii="Arial" w:hAnsi="Arial" w:cs="Arial"/>
          <w:sz w:val="20"/>
          <w:szCs w:val="20"/>
        </w:rPr>
        <w:tab/>
      </w:r>
      <w:r>
        <w:rPr>
          <w:rFonts w:ascii="Arial" w:hAnsi="Arial" w:cs="Arial"/>
          <w:sz w:val="20"/>
          <w:szCs w:val="20"/>
        </w:rPr>
        <w:tab/>
        <w:t>1</w:t>
      </w:r>
    </w:p>
    <w:p w14:paraId="5346D2CE" w14:textId="77777777" w:rsidR="00F812C0" w:rsidRDefault="00E9326B" w:rsidP="003F6923">
      <w:pPr>
        <w:pStyle w:val="NoSpacing"/>
        <w:rPr>
          <w:rFonts w:ascii="Arial" w:hAnsi="Arial" w:cs="Arial"/>
          <w:sz w:val="20"/>
          <w:szCs w:val="20"/>
        </w:rPr>
      </w:pPr>
      <w:r>
        <w:rPr>
          <w:rFonts w:ascii="Arial" w:hAnsi="Arial" w:cs="Arial"/>
          <w:sz w:val="20"/>
          <w:szCs w:val="20"/>
        </w:rPr>
        <w:t xml:space="preserve">Horfield </w:t>
      </w:r>
      <w:r>
        <w:rPr>
          <w:rFonts w:ascii="Arial" w:hAnsi="Arial" w:cs="Arial"/>
          <w:sz w:val="20"/>
          <w:szCs w:val="20"/>
        </w:rPr>
        <w:tab/>
      </w:r>
      <w:r>
        <w:rPr>
          <w:rFonts w:ascii="Arial" w:hAnsi="Arial" w:cs="Arial"/>
          <w:sz w:val="20"/>
          <w:szCs w:val="20"/>
        </w:rPr>
        <w:tab/>
      </w:r>
      <w:r>
        <w:rPr>
          <w:rFonts w:ascii="Arial" w:hAnsi="Arial" w:cs="Arial"/>
          <w:sz w:val="20"/>
          <w:szCs w:val="20"/>
        </w:rPr>
        <w:tab/>
      </w:r>
      <w:r w:rsidR="00361620">
        <w:rPr>
          <w:rFonts w:ascii="Arial" w:hAnsi="Arial" w:cs="Arial"/>
          <w:sz w:val="20"/>
          <w:szCs w:val="20"/>
        </w:rPr>
        <w:t>2</w:t>
      </w:r>
    </w:p>
    <w:p w14:paraId="5346D2CF" w14:textId="77777777" w:rsidR="00F812C0" w:rsidRDefault="00E9326B" w:rsidP="003F6923">
      <w:pPr>
        <w:pStyle w:val="NoSpacing"/>
        <w:rPr>
          <w:rFonts w:ascii="Arial" w:hAnsi="Arial" w:cs="Arial"/>
          <w:sz w:val="20"/>
          <w:szCs w:val="20"/>
        </w:rPr>
      </w:pPr>
      <w:r>
        <w:rPr>
          <w:rFonts w:ascii="Arial" w:hAnsi="Arial" w:cs="Arial"/>
          <w:sz w:val="20"/>
          <w:szCs w:val="20"/>
        </w:rPr>
        <w:t xml:space="preserve">Hotwells and Harbourside </w:t>
      </w:r>
      <w:r>
        <w:rPr>
          <w:rFonts w:ascii="Arial" w:hAnsi="Arial" w:cs="Arial"/>
          <w:sz w:val="20"/>
          <w:szCs w:val="20"/>
        </w:rPr>
        <w:tab/>
        <w:t>0</w:t>
      </w:r>
    </w:p>
    <w:p w14:paraId="5346D2D0" w14:textId="33103600" w:rsidR="00F812C0" w:rsidRDefault="00E9326B" w:rsidP="003F6923">
      <w:pPr>
        <w:pStyle w:val="NoSpacing"/>
        <w:rPr>
          <w:rFonts w:ascii="Arial" w:hAnsi="Arial" w:cs="Arial"/>
          <w:sz w:val="20"/>
          <w:szCs w:val="20"/>
        </w:rPr>
      </w:pPr>
      <w:r>
        <w:rPr>
          <w:rFonts w:ascii="Arial" w:hAnsi="Arial" w:cs="Arial"/>
          <w:sz w:val="20"/>
          <w:szCs w:val="20"/>
        </w:rPr>
        <w:t xml:space="preserve">Knowle </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00916D15">
        <w:rPr>
          <w:rFonts w:ascii="Arial" w:hAnsi="Arial" w:cs="Arial"/>
          <w:sz w:val="20"/>
          <w:szCs w:val="20"/>
        </w:rPr>
        <w:t>1</w:t>
      </w:r>
    </w:p>
    <w:p w14:paraId="5346D2D1" w14:textId="77777777" w:rsidR="00F812C0" w:rsidRDefault="00E9326B" w:rsidP="00F812C0">
      <w:pPr>
        <w:pStyle w:val="NoSpacing"/>
        <w:rPr>
          <w:rFonts w:ascii="Arial" w:hAnsi="Arial" w:cs="Arial"/>
          <w:sz w:val="20"/>
          <w:szCs w:val="20"/>
        </w:rPr>
      </w:pPr>
      <w:r>
        <w:rPr>
          <w:rFonts w:ascii="Arial" w:hAnsi="Arial" w:cs="Arial"/>
          <w:sz w:val="20"/>
          <w:szCs w:val="20"/>
        </w:rPr>
        <w:t xml:space="preserve">Lawrence Hill </w:t>
      </w:r>
      <w:r>
        <w:rPr>
          <w:rFonts w:ascii="Arial" w:hAnsi="Arial" w:cs="Arial"/>
          <w:sz w:val="20"/>
          <w:szCs w:val="20"/>
        </w:rPr>
        <w:tab/>
      </w:r>
      <w:r>
        <w:rPr>
          <w:rFonts w:ascii="Arial" w:hAnsi="Arial" w:cs="Arial"/>
          <w:sz w:val="20"/>
          <w:szCs w:val="20"/>
        </w:rPr>
        <w:tab/>
      </w:r>
      <w:r>
        <w:rPr>
          <w:rFonts w:ascii="Arial" w:hAnsi="Arial" w:cs="Arial"/>
          <w:sz w:val="20"/>
          <w:szCs w:val="20"/>
        </w:rPr>
        <w:tab/>
      </w:r>
      <w:r w:rsidR="00361620">
        <w:rPr>
          <w:rFonts w:ascii="Arial" w:hAnsi="Arial" w:cs="Arial"/>
          <w:sz w:val="20"/>
          <w:szCs w:val="20"/>
        </w:rPr>
        <w:t>1</w:t>
      </w:r>
    </w:p>
    <w:p w14:paraId="5346D2D2" w14:textId="77777777" w:rsidR="00F812C0" w:rsidRDefault="00E9326B" w:rsidP="003F6923">
      <w:pPr>
        <w:pStyle w:val="NoSpacing"/>
        <w:rPr>
          <w:rFonts w:ascii="Arial" w:hAnsi="Arial" w:cs="Arial"/>
          <w:sz w:val="20"/>
          <w:szCs w:val="20"/>
        </w:rPr>
      </w:pPr>
      <w:r>
        <w:rPr>
          <w:rFonts w:ascii="Arial" w:hAnsi="Arial" w:cs="Arial"/>
          <w:sz w:val="20"/>
          <w:szCs w:val="20"/>
        </w:rPr>
        <w:t xml:space="preserve">Lockleaze </w:t>
      </w:r>
      <w:r>
        <w:rPr>
          <w:rFonts w:ascii="Arial" w:hAnsi="Arial" w:cs="Arial"/>
          <w:sz w:val="20"/>
          <w:szCs w:val="20"/>
        </w:rPr>
        <w:tab/>
      </w:r>
      <w:r>
        <w:rPr>
          <w:rFonts w:ascii="Arial" w:hAnsi="Arial" w:cs="Arial"/>
          <w:sz w:val="20"/>
          <w:szCs w:val="20"/>
        </w:rPr>
        <w:tab/>
      </w:r>
      <w:r>
        <w:rPr>
          <w:rFonts w:ascii="Arial" w:hAnsi="Arial" w:cs="Arial"/>
          <w:sz w:val="20"/>
          <w:szCs w:val="20"/>
        </w:rPr>
        <w:tab/>
        <w:t>1</w:t>
      </w:r>
    </w:p>
    <w:p w14:paraId="5346D2D3" w14:textId="77777777" w:rsidR="00F812C0" w:rsidRDefault="00E9326B" w:rsidP="003F6923">
      <w:pPr>
        <w:pStyle w:val="NoSpacing"/>
        <w:rPr>
          <w:rFonts w:ascii="Arial" w:hAnsi="Arial" w:cs="Arial"/>
          <w:sz w:val="20"/>
          <w:szCs w:val="20"/>
        </w:rPr>
      </w:pPr>
      <w:r>
        <w:rPr>
          <w:rFonts w:ascii="Arial" w:hAnsi="Arial" w:cs="Arial"/>
          <w:sz w:val="20"/>
          <w:szCs w:val="20"/>
        </w:rPr>
        <w:t xml:space="preserve">Redland </w:t>
      </w:r>
      <w:r>
        <w:rPr>
          <w:rFonts w:ascii="Arial" w:hAnsi="Arial" w:cs="Arial"/>
          <w:sz w:val="20"/>
          <w:szCs w:val="20"/>
        </w:rPr>
        <w:tab/>
      </w:r>
      <w:r>
        <w:rPr>
          <w:rFonts w:ascii="Arial" w:hAnsi="Arial" w:cs="Arial"/>
          <w:sz w:val="20"/>
          <w:szCs w:val="20"/>
        </w:rPr>
        <w:tab/>
      </w:r>
      <w:r>
        <w:rPr>
          <w:rFonts w:ascii="Arial" w:hAnsi="Arial" w:cs="Arial"/>
          <w:sz w:val="20"/>
          <w:szCs w:val="20"/>
        </w:rPr>
        <w:tab/>
      </w:r>
      <w:r w:rsidR="00361620">
        <w:rPr>
          <w:rFonts w:ascii="Arial" w:hAnsi="Arial" w:cs="Arial"/>
          <w:sz w:val="20"/>
          <w:szCs w:val="20"/>
        </w:rPr>
        <w:t>0</w:t>
      </w:r>
    </w:p>
    <w:p w14:paraId="5346D2D4" w14:textId="77777777" w:rsidR="005E40F1" w:rsidRDefault="00E9326B" w:rsidP="003F6923">
      <w:pPr>
        <w:pStyle w:val="NoSpacing"/>
        <w:rPr>
          <w:rFonts w:ascii="Arial" w:hAnsi="Arial" w:cs="Arial"/>
          <w:sz w:val="20"/>
          <w:szCs w:val="20"/>
        </w:rPr>
      </w:pPr>
      <w:r>
        <w:rPr>
          <w:rFonts w:ascii="Arial" w:hAnsi="Arial" w:cs="Arial"/>
          <w:sz w:val="20"/>
          <w:szCs w:val="20"/>
        </w:rPr>
        <w:t xml:space="preserve">Southmead </w:t>
      </w:r>
      <w:r>
        <w:rPr>
          <w:rFonts w:ascii="Arial" w:hAnsi="Arial" w:cs="Arial"/>
          <w:sz w:val="20"/>
          <w:szCs w:val="20"/>
        </w:rPr>
        <w:tab/>
      </w:r>
      <w:r>
        <w:rPr>
          <w:rFonts w:ascii="Arial" w:hAnsi="Arial" w:cs="Arial"/>
          <w:sz w:val="20"/>
          <w:szCs w:val="20"/>
        </w:rPr>
        <w:tab/>
      </w:r>
      <w:r>
        <w:rPr>
          <w:rFonts w:ascii="Arial" w:hAnsi="Arial" w:cs="Arial"/>
          <w:sz w:val="20"/>
          <w:szCs w:val="20"/>
        </w:rPr>
        <w:tab/>
        <w:t>1</w:t>
      </w:r>
    </w:p>
    <w:p w14:paraId="5346D2D5" w14:textId="77777777" w:rsidR="005E40F1" w:rsidRDefault="00E9326B" w:rsidP="003F6923">
      <w:pPr>
        <w:pStyle w:val="NoSpacing"/>
        <w:rPr>
          <w:rFonts w:ascii="Arial" w:hAnsi="Arial" w:cs="Arial"/>
          <w:sz w:val="20"/>
          <w:szCs w:val="20"/>
        </w:rPr>
      </w:pPr>
      <w:r>
        <w:rPr>
          <w:rFonts w:ascii="Arial" w:hAnsi="Arial" w:cs="Arial"/>
          <w:sz w:val="20"/>
          <w:szCs w:val="20"/>
        </w:rPr>
        <w:t xml:space="preserve">Southville </w:t>
      </w:r>
      <w:r>
        <w:rPr>
          <w:rFonts w:ascii="Arial" w:hAnsi="Arial" w:cs="Arial"/>
          <w:sz w:val="20"/>
          <w:szCs w:val="20"/>
        </w:rPr>
        <w:tab/>
      </w:r>
      <w:r>
        <w:rPr>
          <w:rFonts w:ascii="Arial" w:hAnsi="Arial" w:cs="Arial"/>
          <w:sz w:val="20"/>
          <w:szCs w:val="20"/>
        </w:rPr>
        <w:tab/>
      </w:r>
      <w:r>
        <w:rPr>
          <w:rFonts w:ascii="Arial" w:hAnsi="Arial" w:cs="Arial"/>
          <w:sz w:val="20"/>
          <w:szCs w:val="20"/>
        </w:rPr>
        <w:tab/>
      </w:r>
      <w:r w:rsidR="00361620">
        <w:rPr>
          <w:rFonts w:ascii="Arial" w:hAnsi="Arial" w:cs="Arial"/>
          <w:sz w:val="20"/>
          <w:szCs w:val="20"/>
        </w:rPr>
        <w:t>4</w:t>
      </w:r>
    </w:p>
    <w:p w14:paraId="5346D2D6" w14:textId="77777777" w:rsidR="005E40F1" w:rsidRDefault="00E9326B" w:rsidP="003F6923">
      <w:pPr>
        <w:pStyle w:val="NoSpacing"/>
        <w:rPr>
          <w:rFonts w:ascii="Arial" w:hAnsi="Arial" w:cs="Arial"/>
          <w:sz w:val="20"/>
          <w:szCs w:val="20"/>
        </w:rPr>
      </w:pPr>
      <w:r>
        <w:rPr>
          <w:rFonts w:ascii="Arial" w:hAnsi="Arial" w:cs="Arial"/>
          <w:sz w:val="20"/>
          <w:szCs w:val="20"/>
        </w:rPr>
        <w:t xml:space="preserve">St George Central </w:t>
      </w:r>
      <w:r>
        <w:rPr>
          <w:rFonts w:ascii="Arial" w:hAnsi="Arial" w:cs="Arial"/>
          <w:sz w:val="20"/>
          <w:szCs w:val="20"/>
        </w:rPr>
        <w:tab/>
      </w:r>
      <w:r>
        <w:rPr>
          <w:rFonts w:ascii="Arial" w:hAnsi="Arial" w:cs="Arial"/>
          <w:sz w:val="20"/>
          <w:szCs w:val="20"/>
        </w:rPr>
        <w:tab/>
        <w:t>1</w:t>
      </w:r>
    </w:p>
    <w:p w14:paraId="5346D2D7" w14:textId="77777777" w:rsidR="00EB13AC" w:rsidRDefault="005E40F1" w:rsidP="003F6923">
      <w:pPr>
        <w:pStyle w:val="NoSpacing"/>
        <w:rPr>
          <w:rFonts w:ascii="Arial" w:hAnsi="Arial" w:cs="Arial"/>
          <w:sz w:val="20"/>
          <w:szCs w:val="20"/>
        </w:rPr>
      </w:pPr>
      <w:r>
        <w:rPr>
          <w:rFonts w:ascii="Arial" w:hAnsi="Arial" w:cs="Arial"/>
          <w:sz w:val="20"/>
          <w:szCs w:val="20"/>
        </w:rPr>
        <w:t>St George Troopers Hill</w:t>
      </w:r>
      <w:r w:rsidR="00E9326B">
        <w:rPr>
          <w:rFonts w:ascii="Arial" w:hAnsi="Arial" w:cs="Arial"/>
          <w:sz w:val="20"/>
          <w:szCs w:val="20"/>
        </w:rPr>
        <w:tab/>
      </w:r>
      <w:r w:rsidR="00E9326B">
        <w:rPr>
          <w:rFonts w:ascii="Arial" w:hAnsi="Arial" w:cs="Arial"/>
          <w:sz w:val="20"/>
          <w:szCs w:val="20"/>
        </w:rPr>
        <w:tab/>
        <w:t>0</w:t>
      </w:r>
    </w:p>
    <w:p w14:paraId="5346D2D8" w14:textId="77777777" w:rsidR="005E40F1" w:rsidRDefault="005E40F1" w:rsidP="003F6923">
      <w:pPr>
        <w:pStyle w:val="NoSpacing"/>
        <w:rPr>
          <w:rFonts w:ascii="Arial" w:hAnsi="Arial" w:cs="Arial"/>
          <w:sz w:val="20"/>
          <w:szCs w:val="20"/>
        </w:rPr>
      </w:pPr>
      <w:r>
        <w:rPr>
          <w:rFonts w:ascii="Arial" w:hAnsi="Arial" w:cs="Arial"/>
          <w:sz w:val="20"/>
          <w:szCs w:val="20"/>
        </w:rPr>
        <w:t>St George West</w:t>
      </w:r>
      <w:r w:rsidR="00E9326B">
        <w:rPr>
          <w:rFonts w:ascii="Arial" w:hAnsi="Arial" w:cs="Arial"/>
          <w:sz w:val="20"/>
          <w:szCs w:val="20"/>
        </w:rPr>
        <w:t xml:space="preserve"> </w:t>
      </w:r>
      <w:r w:rsidR="00E9326B">
        <w:rPr>
          <w:rFonts w:ascii="Arial" w:hAnsi="Arial" w:cs="Arial"/>
          <w:sz w:val="20"/>
          <w:szCs w:val="20"/>
        </w:rPr>
        <w:tab/>
      </w:r>
      <w:r w:rsidR="00E9326B">
        <w:rPr>
          <w:rFonts w:ascii="Arial" w:hAnsi="Arial" w:cs="Arial"/>
          <w:sz w:val="20"/>
          <w:szCs w:val="20"/>
        </w:rPr>
        <w:tab/>
        <w:t>1</w:t>
      </w:r>
    </w:p>
    <w:p w14:paraId="5346D2D9" w14:textId="77777777" w:rsidR="005E40F1" w:rsidRDefault="005E40F1" w:rsidP="003F6923">
      <w:pPr>
        <w:pStyle w:val="NoSpacing"/>
        <w:rPr>
          <w:rFonts w:ascii="Arial" w:hAnsi="Arial" w:cs="Arial"/>
          <w:sz w:val="20"/>
          <w:szCs w:val="20"/>
        </w:rPr>
      </w:pPr>
      <w:r>
        <w:rPr>
          <w:rFonts w:ascii="Arial" w:hAnsi="Arial" w:cs="Arial"/>
          <w:sz w:val="20"/>
          <w:szCs w:val="20"/>
        </w:rPr>
        <w:t>Stockwood</w:t>
      </w:r>
      <w:r w:rsidR="00E9326B">
        <w:rPr>
          <w:rFonts w:ascii="Arial" w:hAnsi="Arial" w:cs="Arial"/>
          <w:sz w:val="20"/>
          <w:szCs w:val="20"/>
        </w:rPr>
        <w:t xml:space="preserve"> </w:t>
      </w:r>
      <w:r w:rsidR="00E9326B">
        <w:rPr>
          <w:rFonts w:ascii="Arial" w:hAnsi="Arial" w:cs="Arial"/>
          <w:sz w:val="20"/>
          <w:szCs w:val="20"/>
        </w:rPr>
        <w:tab/>
      </w:r>
      <w:r w:rsidR="00E9326B">
        <w:rPr>
          <w:rFonts w:ascii="Arial" w:hAnsi="Arial" w:cs="Arial"/>
          <w:sz w:val="20"/>
          <w:szCs w:val="20"/>
        </w:rPr>
        <w:tab/>
      </w:r>
      <w:r w:rsidR="00E9326B">
        <w:rPr>
          <w:rFonts w:ascii="Arial" w:hAnsi="Arial" w:cs="Arial"/>
          <w:sz w:val="20"/>
          <w:szCs w:val="20"/>
        </w:rPr>
        <w:tab/>
        <w:t>1</w:t>
      </w:r>
    </w:p>
    <w:p w14:paraId="5346D2DA" w14:textId="77777777" w:rsidR="005E40F1" w:rsidRDefault="005E40F1" w:rsidP="003F6923">
      <w:pPr>
        <w:pStyle w:val="NoSpacing"/>
        <w:rPr>
          <w:rFonts w:ascii="Arial" w:hAnsi="Arial" w:cs="Arial"/>
          <w:sz w:val="20"/>
          <w:szCs w:val="20"/>
        </w:rPr>
      </w:pPr>
      <w:r>
        <w:rPr>
          <w:rFonts w:ascii="Arial" w:hAnsi="Arial" w:cs="Arial"/>
          <w:sz w:val="20"/>
          <w:szCs w:val="20"/>
        </w:rPr>
        <w:t>Stoke Bishop</w:t>
      </w:r>
      <w:r w:rsidR="00E9326B">
        <w:rPr>
          <w:rFonts w:ascii="Arial" w:hAnsi="Arial" w:cs="Arial"/>
          <w:sz w:val="20"/>
          <w:szCs w:val="20"/>
        </w:rPr>
        <w:tab/>
      </w:r>
      <w:r w:rsidR="00E9326B">
        <w:rPr>
          <w:rFonts w:ascii="Arial" w:hAnsi="Arial" w:cs="Arial"/>
          <w:sz w:val="20"/>
          <w:szCs w:val="20"/>
        </w:rPr>
        <w:tab/>
      </w:r>
      <w:r w:rsidR="00E9326B">
        <w:rPr>
          <w:rFonts w:ascii="Arial" w:hAnsi="Arial" w:cs="Arial"/>
          <w:sz w:val="20"/>
          <w:szCs w:val="20"/>
        </w:rPr>
        <w:tab/>
        <w:t>0</w:t>
      </w:r>
    </w:p>
    <w:p w14:paraId="5346D2DB" w14:textId="77777777" w:rsidR="005E40F1" w:rsidRDefault="00E9326B" w:rsidP="003F6923">
      <w:pPr>
        <w:pStyle w:val="NoSpacing"/>
        <w:rPr>
          <w:rFonts w:ascii="Arial" w:hAnsi="Arial" w:cs="Arial"/>
          <w:sz w:val="20"/>
          <w:szCs w:val="20"/>
        </w:rPr>
      </w:pPr>
      <w:r>
        <w:rPr>
          <w:rFonts w:ascii="Arial" w:hAnsi="Arial" w:cs="Arial"/>
          <w:sz w:val="20"/>
          <w:szCs w:val="20"/>
        </w:rPr>
        <w:t xml:space="preserve">Westbury on Trym &amp; Henleaze </w:t>
      </w:r>
      <w:r>
        <w:rPr>
          <w:rFonts w:ascii="Arial" w:hAnsi="Arial" w:cs="Arial"/>
          <w:sz w:val="20"/>
          <w:szCs w:val="20"/>
        </w:rPr>
        <w:tab/>
      </w:r>
      <w:r w:rsidR="00361620">
        <w:rPr>
          <w:rFonts w:ascii="Arial" w:hAnsi="Arial" w:cs="Arial"/>
          <w:sz w:val="20"/>
          <w:szCs w:val="20"/>
        </w:rPr>
        <w:t>1</w:t>
      </w:r>
    </w:p>
    <w:p w14:paraId="5346D2DC" w14:textId="77777777" w:rsidR="005E40F1" w:rsidRDefault="00E9326B" w:rsidP="003F6923">
      <w:pPr>
        <w:pStyle w:val="NoSpacing"/>
        <w:rPr>
          <w:rFonts w:ascii="Arial" w:hAnsi="Arial" w:cs="Arial"/>
          <w:sz w:val="20"/>
          <w:szCs w:val="20"/>
        </w:rPr>
      </w:pPr>
      <w:r>
        <w:rPr>
          <w:rFonts w:ascii="Arial" w:hAnsi="Arial" w:cs="Arial"/>
          <w:sz w:val="20"/>
          <w:szCs w:val="20"/>
        </w:rPr>
        <w:t xml:space="preserve">Windmill Hill </w:t>
      </w:r>
      <w:r>
        <w:rPr>
          <w:rFonts w:ascii="Arial" w:hAnsi="Arial" w:cs="Arial"/>
          <w:sz w:val="20"/>
          <w:szCs w:val="20"/>
        </w:rPr>
        <w:tab/>
      </w:r>
      <w:r>
        <w:rPr>
          <w:rFonts w:ascii="Arial" w:hAnsi="Arial" w:cs="Arial"/>
          <w:sz w:val="20"/>
          <w:szCs w:val="20"/>
        </w:rPr>
        <w:tab/>
      </w:r>
      <w:r>
        <w:rPr>
          <w:rFonts w:ascii="Arial" w:hAnsi="Arial" w:cs="Arial"/>
          <w:sz w:val="20"/>
          <w:szCs w:val="20"/>
        </w:rPr>
        <w:tab/>
      </w:r>
      <w:r w:rsidR="00361620">
        <w:rPr>
          <w:rFonts w:ascii="Arial" w:hAnsi="Arial" w:cs="Arial"/>
          <w:sz w:val="20"/>
          <w:szCs w:val="20"/>
        </w:rPr>
        <w:t>0</w:t>
      </w:r>
    </w:p>
    <w:p w14:paraId="5346D2DD" w14:textId="77777777" w:rsidR="00E9326B" w:rsidRDefault="00E9326B" w:rsidP="003F6923">
      <w:pPr>
        <w:pStyle w:val="NoSpacing"/>
        <w:rPr>
          <w:rFonts w:ascii="Arial" w:hAnsi="Arial" w:cs="Arial"/>
          <w:sz w:val="20"/>
          <w:szCs w:val="20"/>
        </w:rPr>
        <w:sectPr w:rsidR="00E9326B" w:rsidSect="00E9326B">
          <w:type w:val="continuous"/>
          <w:pgSz w:w="11906" w:h="16838"/>
          <w:pgMar w:top="1440" w:right="1440" w:bottom="1440" w:left="1440" w:header="708" w:footer="708" w:gutter="0"/>
          <w:cols w:num="2" w:space="708"/>
          <w:docGrid w:linePitch="360"/>
        </w:sectPr>
      </w:pPr>
    </w:p>
    <w:p w14:paraId="5346D2DE" w14:textId="77777777" w:rsidR="001867BB" w:rsidRDefault="001867BB" w:rsidP="003F6923">
      <w:pPr>
        <w:pStyle w:val="NoSpacing"/>
        <w:rPr>
          <w:rFonts w:ascii="Arial" w:hAnsi="Arial" w:cs="Arial"/>
          <w:sz w:val="20"/>
          <w:szCs w:val="20"/>
        </w:rPr>
      </w:pPr>
    </w:p>
    <w:p w14:paraId="5346D2DF" w14:textId="77777777" w:rsidR="000854F3" w:rsidRDefault="000854F3" w:rsidP="003F6923">
      <w:pPr>
        <w:pStyle w:val="NoSpacing"/>
        <w:rPr>
          <w:rFonts w:ascii="Arial" w:hAnsi="Arial" w:cs="Arial"/>
          <w:sz w:val="20"/>
          <w:szCs w:val="20"/>
        </w:rPr>
      </w:pPr>
      <w:r w:rsidRPr="00742DFD">
        <w:rPr>
          <w:rFonts w:ascii="Arial" w:hAnsi="Arial" w:cs="Arial"/>
          <w:sz w:val="20"/>
          <w:szCs w:val="20"/>
          <w:u w:val="single"/>
        </w:rPr>
        <w:t>Betting (Track)</w:t>
      </w:r>
      <w:r>
        <w:rPr>
          <w:rFonts w:ascii="Arial" w:hAnsi="Arial" w:cs="Arial"/>
          <w:sz w:val="20"/>
          <w:szCs w:val="20"/>
        </w:rPr>
        <w:t xml:space="preserve"> </w:t>
      </w:r>
      <w:r w:rsidR="00E9326B">
        <w:rPr>
          <w:rFonts w:ascii="Arial" w:hAnsi="Arial" w:cs="Arial"/>
          <w:sz w:val="20"/>
          <w:szCs w:val="20"/>
        </w:rPr>
        <w:tab/>
      </w:r>
      <w:r w:rsidR="00E9326B">
        <w:rPr>
          <w:rFonts w:ascii="Arial" w:hAnsi="Arial" w:cs="Arial"/>
          <w:sz w:val="20"/>
          <w:szCs w:val="20"/>
        </w:rPr>
        <w:tab/>
      </w:r>
      <w:r w:rsidR="00E9326B">
        <w:rPr>
          <w:rFonts w:ascii="Arial" w:hAnsi="Arial" w:cs="Arial"/>
          <w:sz w:val="20"/>
          <w:szCs w:val="20"/>
        </w:rPr>
        <w:tab/>
      </w:r>
      <w:r w:rsidRPr="00742DFD">
        <w:rPr>
          <w:rFonts w:ascii="Arial" w:hAnsi="Arial" w:cs="Arial"/>
          <w:b/>
          <w:sz w:val="20"/>
          <w:szCs w:val="20"/>
        </w:rPr>
        <w:t>1</w:t>
      </w:r>
    </w:p>
    <w:p w14:paraId="5346D2E0" w14:textId="77777777" w:rsidR="00E9326B" w:rsidRDefault="00E9326B" w:rsidP="003F6923">
      <w:pPr>
        <w:pStyle w:val="NoSpacing"/>
        <w:rPr>
          <w:rFonts w:ascii="Arial" w:hAnsi="Arial" w:cs="Arial"/>
          <w:sz w:val="20"/>
          <w:szCs w:val="20"/>
        </w:rPr>
      </w:pPr>
    </w:p>
    <w:p w14:paraId="5346D2E1" w14:textId="77777777" w:rsidR="00742DFD" w:rsidRDefault="00742DFD" w:rsidP="003F6923">
      <w:pPr>
        <w:pStyle w:val="NoSpacing"/>
        <w:rPr>
          <w:rFonts w:ascii="Arial" w:hAnsi="Arial" w:cs="Arial"/>
          <w:sz w:val="20"/>
          <w:szCs w:val="20"/>
        </w:rPr>
      </w:pPr>
      <w:r>
        <w:rPr>
          <w:rFonts w:ascii="Arial" w:hAnsi="Arial" w:cs="Arial"/>
          <w:sz w:val="20"/>
          <w:szCs w:val="20"/>
        </w:rPr>
        <w:t>Bedminster</w:t>
      </w:r>
      <w:r>
        <w:rPr>
          <w:rFonts w:ascii="Arial" w:hAnsi="Arial" w:cs="Arial"/>
          <w:sz w:val="20"/>
          <w:szCs w:val="20"/>
        </w:rPr>
        <w:tab/>
      </w:r>
      <w:r>
        <w:rPr>
          <w:rFonts w:ascii="Arial" w:hAnsi="Arial" w:cs="Arial"/>
          <w:sz w:val="20"/>
          <w:szCs w:val="20"/>
        </w:rPr>
        <w:tab/>
      </w:r>
      <w:r>
        <w:rPr>
          <w:rFonts w:ascii="Arial" w:hAnsi="Arial" w:cs="Arial"/>
          <w:sz w:val="20"/>
          <w:szCs w:val="20"/>
        </w:rPr>
        <w:tab/>
        <w:t>1</w:t>
      </w:r>
    </w:p>
    <w:p w14:paraId="5346D2E2" w14:textId="77777777" w:rsidR="00742DFD" w:rsidRDefault="00742DFD" w:rsidP="003F6923">
      <w:pPr>
        <w:pStyle w:val="NoSpacing"/>
        <w:rPr>
          <w:rFonts w:ascii="Arial" w:hAnsi="Arial" w:cs="Arial"/>
          <w:sz w:val="20"/>
          <w:szCs w:val="20"/>
        </w:rPr>
      </w:pPr>
    </w:p>
    <w:p w14:paraId="5346D2E3" w14:textId="77777777" w:rsidR="000854F3" w:rsidRDefault="000854F3" w:rsidP="003F6923">
      <w:pPr>
        <w:pStyle w:val="NoSpacing"/>
        <w:rPr>
          <w:rFonts w:ascii="Arial" w:hAnsi="Arial" w:cs="Arial"/>
          <w:sz w:val="20"/>
          <w:szCs w:val="20"/>
        </w:rPr>
      </w:pPr>
      <w:r w:rsidRPr="00021A46">
        <w:rPr>
          <w:rFonts w:ascii="Arial" w:hAnsi="Arial" w:cs="Arial"/>
          <w:sz w:val="20"/>
          <w:szCs w:val="20"/>
          <w:u w:val="single"/>
        </w:rPr>
        <w:t>Casino</w:t>
      </w:r>
      <w:r w:rsidR="00246FFB" w:rsidRPr="00021A46">
        <w:rPr>
          <w:rFonts w:ascii="Arial" w:hAnsi="Arial" w:cs="Arial"/>
          <w:sz w:val="20"/>
          <w:szCs w:val="20"/>
          <w:u w:val="single"/>
        </w:rPr>
        <w:t>s</w:t>
      </w:r>
      <w:r>
        <w:rPr>
          <w:rFonts w:ascii="Arial" w:hAnsi="Arial" w:cs="Arial"/>
          <w:sz w:val="20"/>
          <w:szCs w:val="20"/>
        </w:rPr>
        <w:t xml:space="preserve"> </w:t>
      </w:r>
      <w:r w:rsidR="00021A46">
        <w:rPr>
          <w:rFonts w:ascii="Arial" w:hAnsi="Arial" w:cs="Arial"/>
          <w:sz w:val="20"/>
          <w:szCs w:val="20"/>
        </w:rPr>
        <w:tab/>
      </w:r>
      <w:r w:rsidR="00021A46">
        <w:rPr>
          <w:rFonts w:ascii="Arial" w:hAnsi="Arial" w:cs="Arial"/>
          <w:sz w:val="20"/>
          <w:szCs w:val="20"/>
        </w:rPr>
        <w:tab/>
      </w:r>
      <w:r w:rsidR="00021A46">
        <w:rPr>
          <w:rFonts w:ascii="Arial" w:hAnsi="Arial" w:cs="Arial"/>
          <w:sz w:val="20"/>
          <w:szCs w:val="20"/>
        </w:rPr>
        <w:tab/>
      </w:r>
      <w:r w:rsidR="00021A46" w:rsidRPr="00021A46">
        <w:rPr>
          <w:rFonts w:ascii="Arial" w:hAnsi="Arial" w:cs="Arial"/>
          <w:b/>
          <w:sz w:val="20"/>
          <w:szCs w:val="20"/>
        </w:rPr>
        <w:t>5</w:t>
      </w:r>
    </w:p>
    <w:p w14:paraId="5346D2E4" w14:textId="77777777" w:rsidR="00021A46" w:rsidRDefault="00021A46" w:rsidP="003F6923">
      <w:pPr>
        <w:pStyle w:val="NoSpacing"/>
        <w:rPr>
          <w:rFonts w:ascii="Arial" w:hAnsi="Arial" w:cs="Arial"/>
          <w:sz w:val="20"/>
          <w:szCs w:val="20"/>
        </w:rPr>
      </w:pPr>
    </w:p>
    <w:p w14:paraId="5346D2E5" w14:textId="77777777" w:rsidR="00021A46" w:rsidRDefault="00021A46" w:rsidP="003F6923">
      <w:pPr>
        <w:pStyle w:val="NoSpacing"/>
        <w:rPr>
          <w:rFonts w:ascii="Arial" w:hAnsi="Arial" w:cs="Arial"/>
          <w:sz w:val="20"/>
          <w:szCs w:val="20"/>
        </w:rPr>
      </w:pPr>
      <w:r>
        <w:rPr>
          <w:rFonts w:ascii="Arial" w:hAnsi="Arial" w:cs="Arial"/>
          <w:sz w:val="20"/>
          <w:szCs w:val="20"/>
        </w:rPr>
        <w:t>Central</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2</w:t>
      </w:r>
    </w:p>
    <w:p w14:paraId="5346D2E6" w14:textId="77777777" w:rsidR="00021A46" w:rsidRDefault="00021A46" w:rsidP="003F6923">
      <w:pPr>
        <w:pStyle w:val="NoSpacing"/>
        <w:rPr>
          <w:rFonts w:ascii="Arial" w:hAnsi="Arial" w:cs="Arial"/>
          <w:sz w:val="20"/>
          <w:szCs w:val="20"/>
        </w:rPr>
      </w:pPr>
      <w:r>
        <w:rPr>
          <w:rFonts w:ascii="Arial" w:hAnsi="Arial" w:cs="Arial"/>
          <w:sz w:val="20"/>
          <w:szCs w:val="20"/>
        </w:rPr>
        <w:t>Hotwells &amp; Harbourside</w:t>
      </w:r>
      <w:r>
        <w:rPr>
          <w:rFonts w:ascii="Arial" w:hAnsi="Arial" w:cs="Arial"/>
          <w:sz w:val="20"/>
          <w:szCs w:val="20"/>
        </w:rPr>
        <w:tab/>
      </w:r>
      <w:r>
        <w:rPr>
          <w:rFonts w:ascii="Arial" w:hAnsi="Arial" w:cs="Arial"/>
          <w:sz w:val="20"/>
          <w:szCs w:val="20"/>
        </w:rPr>
        <w:tab/>
        <w:t>3</w:t>
      </w:r>
    </w:p>
    <w:p w14:paraId="5346D2E7" w14:textId="77777777" w:rsidR="00021A46" w:rsidRDefault="00021A46" w:rsidP="003F6923">
      <w:pPr>
        <w:pStyle w:val="NoSpacing"/>
        <w:rPr>
          <w:rFonts w:ascii="Arial" w:hAnsi="Arial" w:cs="Arial"/>
          <w:sz w:val="20"/>
          <w:szCs w:val="20"/>
        </w:rPr>
      </w:pPr>
    </w:p>
    <w:p w14:paraId="5346D2E8" w14:textId="77777777" w:rsidR="00B50D4D" w:rsidRDefault="00B50D4D" w:rsidP="003F6923">
      <w:pPr>
        <w:pStyle w:val="NoSpacing"/>
        <w:rPr>
          <w:rFonts w:ascii="Arial" w:hAnsi="Arial" w:cs="Arial"/>
          <w:sz w:val="20"/>
          <w:szCs w:val="20"/>
          <w:u w:val="single"/>
        </w:rPr>
      </w:pPr>
    </w:p>
    <w:p w14:paraId="5346D2E9" w14:textId="77777777" w:rsidR="00B50D4D" w:rsidRDefault="00B50D4D" w:rsidP="003F6923">
      <w:pPr>
        <w:pStyle w:val="NoSpacing"/>
        <w:rPr>
          <w:rFonts w:ascii="Arial" w:hAnsi="Arial" w:cs="Arial"/>
          <w:sz w:val="20"/>
          <w:szCs w:val="20"/>
          <w:u w:val="single"/>
        </w:rPr>
      </w:pPr>
    </w:p>
    <w:p w14:paraId="5346D2EA" w14:textId="53AD66F9" w:rsidR="000854F3" w:rsidRDefault="000854F3" w:rsidP="003F6923">
      <w:pPr>
        <w:pStyle w:val="NoSpacing"/>
        <w:rPr>
          <w:rFonts w:ascii="Arial" w:hAnsi="Arial" w:cs="Arial"/>
          <w:sz w:val="20"/>
          <w:szCs w:val="20"/>
        </w:rPr>
      </w:pPr>
      <w:r w:rsidRPr="004A352B">
        <w:rPr>
          <w:rFonts w:ascii="Arial" w:hAnsi="Arial" w:cs="Arial"/>
          <w:sz w:val="20"/>
          <w:szCs w:val="20"/>
          <w:u w:val="single"/>
        </w:rPr>
        <w:t>Adult Gaming Centres</w:t>
      </w:r>
      <w:r>
        <w:rPr>
          <w:rFonts w:ascii="Arial" w:hAnsi="Arial" w:cs="Arial"/>
          <w:sz w:val="20"/>
          <w:szCs w:val="20"/>
        </w:rPr>
        <w:t xml:space="preserve"> </w:t>
      </w:r>
      <w:r w:rsidR="003B3FA8">
        <w:rPr>
          <w:rFonts w:ascii="Arial" w:hAnsi="Arial" w:cs="Arial"/>
          <w:sz w:val="20"/>
          <w:szCs w:val="20"/>
        </w:rPr>
        <w:tab/>
      </w:r>
      <w:r w:rsidR="003B3FA8">
        <w:rPr>
          <w:rFonts w:ascii="Arial" w:hAnsi="Arial" w:cs="Arial"/>
          <w:sz w:val="20"/>
          <w:szCs w:val="20"/>
        </w:rPr>
        <w:tab/>
      </w:r>
      <w:r w:rsidR="00FA36E8">
        <w:rPr>
          <w:rFonts w:ascii="Arial" w:hAnsi="Arial" w:cs="Arial"/>
          <w:b/>
          <w:sz w:val="20"/>
          <w:szCs w:val="20"/>
        </w:rPr>
        <w:t>8</w:t>
      </w:r>
    </w:p>
    <w:p w14:paraId="5346D2EB" w14:textId="77777777" w:rsidR="004A352B" w:rsidRDefault="004A352B" w:rsidP="004A352B">
      <w:pPr>
        <w:pStyle w:val="NoSpacing"/>
        <w:rPr>
          <w:rFonts w:ascii="Arial" w:hAnsi="Arial" w:cs="Arial"/>
          <w:sz w:val="20"/>
          <w:szCs w:val="20"/>
        </w:rPr>
      </w:pPr>
    </w:p>
    <w:p w14:paraId="5346D2EC" w14:textId="4D24ECF8" w:rsidR="004A352B" w:rsidRDefault="00FA496D" w:rsidP="004A352B">
      <w:pPr>
        <w:pStyle w:val="NoSpacing"/>
        <w:rPr>
          <w:rFonts w:ascii="Arial" w:hAnsi="Arial" w:cs="Arial"/>
          <w:sz w:val="20"/>
          <w:szCs w:val="20"/>
        </w:rPr>
      </w:pPr>
      <w:r>
        <w:rPr>
          <w:rFonts w:ascii="Arial" w:hAnsi="Arial" w:cs="Arial"/>
          <w:sz w:val="20"/>
          <w:szCs w:val="20"/>
        </w:rPr>
        <w:t>Central</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00FA36E8">
        <w:rPr>
          <w:rFonts w:ascii="Arial" w:hAnsi="Arial" w:cs="Arial"/>
          <w:sz w:val="20"/>
          <w:szCs w:val="20"/>
        </w:rPr>
        <w:t>2</w:t>
      </w:r>
    </w:p>
    <w:p w14:paraId="5346D2ED" w14:textId="77777777" w:rsidR="00FA496D" w:rsidRDefault="00FA496D" w:rsidP="004A352B">
      <w:pPr>
        <w:pStyle w:val="NoSpacing"/>
        <w:rPr>
          <w:rFonts w:ascii="Arial" w:hAnsi="Arial" w:cs="Arial"/>
          <w:sz w:val="20"/>
          <w:szCs w:val="20"/>
        </w:rPr>
      </w:pPr>
      <w:r>
        <w:rPr>
          <w:rFonts w:ascii="Arial" w:hAnsi="Arial" w:cs="Arial"/>
          <w:sz w:val="20"/>
          <w:szCs w:val="20"/>
        </w:rPr>
        <w:t>Easton</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00DA387D">
        <w:rPr>
          <w:rFonts w:ascii="Arial" w:hAnsi="Arial" w:cs="Arial"/>
          <w:sz w:val="20"/>
          <w:szCs w:val="20"/>
        </w:rPr>
        <w:t>1</w:t>
      </w:r>
    </w:p>
    <w:p w14:paraId="5346D2EE" w14:textId="77777777" w:rsidR="00FA496D" w:rsidRDefault="00FA496D" w:rsidP="004A352B">
      <w:pPr>
        <w:pStyle w:val="NoSpacing"/>
        <w:rPr>
          <w:rFonts w:ascii="Arial" w:hAnsi="Arial" w:cs="Arial"/>
          <w:sz w:val="20"/>
          <w:szCs w:val="20"/>
        </w:rPr>
      </w:pPr>
      <w:r>
        <w:rPr>
          <w:rFonts w:ascii="Arial" w:hAnsi="Arial" w:cs="Arial"/>
          <w:sz w:val="20"/>
          <w:szCs w:val="20"/>
        </w:rPr>
        <w:t>Knowle</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1</w:t>
      </w:r>
    </w:p>
    <w:p w14:paraId="5346D2EF" w14:textId="77777777" w:rsidR="00FA496D" w:rsidRDefault="00FA496D" w:rsidP="004A352B">
      <w:pPr>
        <w:pStyle w:val="NoSpacing"/>
        <w:rPr>
          <w:rFonts w:ascii="Arial" w:hAnsi="Arial" w:cs="Arial"/>
          <w:sz w:val="20"/>
          <w:szCs w:val="20"/>
        </w:rPr>
      </w:pPr>
      <w:r>
        <w:rPr>
          <w:rFonts w:ascii="Arial" w:hAnsi="Arial" w:cs="Arial"/>
          <w:sz w:val="20"/>
          <w:szCs w:val="20"/>
        </w:rPr>
        <w:t>Southville</w:t>
      </w:r>
      <w:r>
        <w:rPr>
          <w:rFonts w:ascii="Arial" w:hAnsi="Arial" w:cs="Arial"/>
          <w:sz w:val="20"/>
          <w:szCs w:val="20"/>
        </w:rPr>
        <w:tab/>
      </w:r>
      <w:r>
        <w:rPr>
          <w:rFonts w:ascii="Arial" w:hAnsi="Arial" w:cs="Arial"/>
          <w:sz w:val="20"/>
          <w:szCs w:val="20"/>
        </w:rPr>
        <w:tab/>
      </w:r>
      <w:r>
        <w:rPr>
          <w:rFonts w:ascii="Arial" w:hAnsi="Arial" w:cs="Arial"/>
          <w:sz w:val="20"/>
          <w:szCs w:val="20"/>
        </w:rPr>
        <w:tab/>
        <w:t>4</w:t>
      </w:r>
    </w:p>
    <w:p w14:paraId="5346D2F0" w14:textId="77777777" w:rsidR="004A352B" w:rsidRDefault="004A352B" w:rsidP="004A352B">
      <w:pPr>
        <w:pStyle w:val="NoSpacing"/>
        <w:rPr>
          <w:rFonts w:ascii="Arial" w:hAnsi="Arial" w:cs="Arial"/>
          <w:sz w:val="20"/>
          <w:szCs w:val="20"/>
        </w:rPr>
      </w:pPr>
    </w:p>
    <w:p w14:paraId="5346D2F1" w14:textId="77777777" w:rsidR="007B2532" w:rsidRDefault="007B2532" w:rsidP="004A352B">
      <w:pPr>
        <w:pStyle w:val="NoSpacing"/>
        <w:rPr>
          <w:rFonts w:ascii="Arial" w:hAnsi="Arial" w:cs="Arial"/>
          <w:sz w:val="20"/>
          <w:szCs w:val="20"/>
          <w:u w:val="single"/>
        </w:rPr>
      </w:pPr>
    </w:p>
    <w:p w14:paraId="5346D2F2" w14:textId="6BFD1096" w:rsidR="008B0420" w:rsidRDefault="008B0420" w:rsidP="004A352B">
      <w:pPr>
        <w:pStyle w:val="NoSpacing"/>
        <w:rPr>
          <w:rFonts w:ascii="Arial" w:hAnsi="Arial" w:cs="Arial"/>
          <w:sz w:val="20"/>
          <w:szCs w:val="20"/>
        </w:rPr>
      </w:pPr>
      <w:r w:rsidRPr="008B0420">
        <w:rPr>
          <w:rFonts w:ascii="Arial" w:hAnsi="Arial" w:cs="Arial"/>
          <w:sz w:val="20"/>
          <w:szCs w:val="20"/>
          <w:u w:val="single"/>
        </w:rPr>
        <w:t>Bingo Halls</w:t>
      </w:r>
      <w:r>
        <w:rPr>
          <w:rFonts w:ascii="Arial" w:hAnsi="Arial" w:cs="Arial"/>
          <w:sz w:val="20"/>
          <w:szCs w:val="20"/>
        </w:rPr>
        <w:tab/>
      </w:r>
      <w:r>
        <w:rPr>
          <w:rFonts w:ascii="Arial" w:hAnsi="Arial" w:cs="Arial"/>
          <w:sz w:val="20"/>
          <w:szCs w:val="20"/>
        </w:rPr>
        <w:tab/>
      </w:r>
      <w:r>
        <w:rPr>
          <w:rFonts w:ascii="Arial" w:hAnsi="Arial" w:cs="Arial"/>
          <w:sz w:val="20"/>
          <w:szCs w:val="20"/>
        </w:rPr>
        <w:tab/>
      </w:r>
      <w:r w:rsidR="006645EC">
        <w:rPr>
          <w:rFonts w:ascii="Arial" w:hAnsi="Arial" w:cs="Arial"/>
          <w:b/>
          <w:sz w:val="20"/>
          <w:szCs w:val="20"/>
        </w:rPr>
        <w:t>3</w:t>
      </w:r>
    </w:p>
    <w:p w14:paraId="5346D2F3" w14:textId="77777777" w:rsidR="008B0420" w:rsidRDefault="008B0420" w:rsidP="004A352B">
      <w:pPr>
        <w:pStyle w:val="NoSpacing"/>
        <w:rPr>
          <w:rFonts w:ascii="Arial" w:hAnsi="Arial" w:cs="Arial"/>
          <w:sz w:val="20"/>
          <w:szCs w:val="20"/>
        </w:rPr>
      </w:pPr>
    </w:p>
    <w:p w14:paraId="5346D2F4" w14:textId="77777777" w:rsidR="00DA387D" w:rsidRDefault="00DA387D" w:rsidP="004A352B">
      <w:pPr>
        <w:pStyle w:val="NoSpacing"/>
        <w:rPr>
          <w:rFonts w:ascii="Arial" w:hAnsi="Arial" w:cs="Arial"/>
          <w:sz w:val="20"/>
          <w:szCs w:val="20"/>
        </w:rPr>
      </w:pPr>
      <w:r>
        <w:rPr>
          <w:rFonts w:ascii="Arial" w:hAnsi="Arial" w:cs="Arial"/>
          <w:sz w:val="20"/>
          <w:szCs w:val="20"/>
        </w:rPr>
        <w:t>Central</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1</w:t>
      </w:r>
    </w:p>
    <w:p w14:paraId="5346D2F5" w14:textId="77777777" w:rsidR="008B0420" w:rsidRDefault="008B0420" w:rsidP="004A352B">
      <w:pPr>
        <w:pStyle w:val="NoSpacing"/>
        <w:rPr>
          <w:rFonts w:ascii="Arial" w:hAnsi="Arial" w:cs="Arial"/>
          <w:sz w:val="20"/>
          <w:szCs w:val="20"/>
        </w:rPr>
      </w:pPr>
      <w:r>
        <w:rPr>
          <w:rFonts w:ascii="Arial" w:hAnsi="Arial" w:cs="Arial"/>
          <w:sz w:val="20"/>
          <w:szCs w:val="20"/>
        </w:rPr>
        <w:t>Eastville</w:t>
      </w:r>
      <w:r>
        <w:rPr>
          <w:rFonts w:ascii="Arial" w:hAnsi="Arial" w:cs="Arial"/>
          <w:sz w:val="20"/>
          <w:szCs w:val="20"/>
        </w:rPr>
        <w:tab/>
      </w:r>
      <w:r>
        <w:rPr>
          <w:rFonts w:ascii="Arial" w:hAnsi="Arial" w:cs="Arial"/>
          <w:sz w:val="20"/>
          <w:szCs w:val="20"/>
        </w:rPr>
        <w:tab/>
      </w:r>
      <w:r>
        <w:rPr>
          <w:rFonts w:ascii="Arial" w:hAnsi="Arial" w:cs="Arial"/>
          <w:sz w:val="20"/>
          <w:szCs w:val="20"/>
        </w:rPr>
        <w:tab/>
        <w:t>1</w:t>
      </w:r>
    </w:p>
    <w:p w14:paraId="5346D2F7" w14:textId="77777777" w:rsidR="008B0420" w:rsidRDefault="008B0420" w:rsidP="004A352B">
      <w:pPr>
        <w:pStyle w:val="NoSpacing"/>
        <w:rPr>
          <w:rFonts w:ascii="Arial" w:hAnsi="Arial" w:cs="Arial"/>
          <w:sz w:val="20"/>
          <w:szCs w:val="20"/>
        </w:rPr>
      </w:pPr>
      <w:r>
        <w:rPr>
          <w:rFonts w:ascii="Arial" w:hAnsi="Arial" w:cs="Arial"/>
          <w:sz w:val="20"/>
          <w:szCs w:val="20"/>
        </w:rPr>
        <w:t>Knowle</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1</w:t>
      </w:r>
    </w:p>
    <w:p w14:paraId="5346D2F8" w14:textId="77777777" w:rsidR="008B0420" w:rsidRDefault="008B0420" w:rsidP="004A352B">
      <w:pPr>
        <w:pStyle w:val="NoSpacing"/>
        <w:rPr>
          <w:rFonts w:ascii="Arial" w:hAnsi="Arial" w:cs="Arial"/>
          <w:sz w:val="20"/>
          <w:szCs w:val="20"/>
        </w:rPr>
      </w:pPr>
    </w:p>
    <w:p w14:paraId="5346D2F9" w14:textId="77777777" w:rsidR="008B0420" w:rsidRDefault="008B0420" w:rsidP="004A352B">
      <w:pPr>
        <w:pStyle w:val="NoSpacing"/>
        <w:rPr>
          <w:rFonts w:ascii="Arial" w:hAnsi="Arial" w:cs="Arial"/>
          <w:sz w:val="20"/>
          <w:szCs w:val="20"/>
        </w:rPr>
      </w:pPr>
    </w:p>
    <w:p w14:paraId="5346D2FA" w14:textId="4BDBC059" w:rsidR="004A352B" w:rsidRDefault="004A352B" w:rsidP="004A352B">
      <w:pPr>
        <w:pStyle w:val="NoSpacing"/>
        <w:rPr>
          <w:rFonts w:ascii="Arial" w:hAnsi="Arial" w:cs="Arial"/>
          <w:sz w:val="20"/>
          <w:szCs w:val="20"/>
        </w:rPr>
      </w:pPr>
      <w:r>
        <w:rPr>
          <w:rFonts w:ascii="Arial" w:hAnsi="Arial" w:cs="Arial"/>
          <w:sz w:val="20"/>
          <w:szCs w:val="20"/>
        </w:rPr>
        <w:t xml:space="preserve">Gaming Machine Permits at Licensed Premises </w:t>
      </w:r>
      <w:r>
        <w:rPr>
          <w:rFonts w:ascii="Arial" w:hAnsi="Arial" w:cs="Arial"/>
          <w:sz w:val="20"/>
          <w:szCs w:val="20"/>
        </w:rPr>
        <w:tab/>
      </w:r>
      <w:r>
        <w:rPr>
          <w:rFonts w:ascii="Arial" w:hAnsi="Arial" w:cs="Arial"/>
          <w:sz w:val="20"/>
          <w:szCs w:val="20"/>
        </w:rPr>
        <w:tab/>
        <w:t>4</w:t>
      </w:r>
      <w:r w:rsidR="0074079C">
        <w:rPr>
          <w:rFonts w:ascii="Arial" w:hAnsi="Arial" w:cs="Arial"/>
          <w:sz w:val="20"/>
          <w:szCs w:val="20"/>
        </w:rPr>
        <w:t>4</w:t>
      </w:r>
    </w:p>
    <w:p w14:paraId="5346D2FB" w14:textId="705629A1" w:rsidR="004A352B" w:rsidRDefault="004A352B" w:rsidP="004A352B">
      <w:pPr>
        <w:pStyle w:val="NoSpacing"/>
        <w:rPr>
          <w:rFonts w:ascii="Arial" w:hAnsi="Arial" w:cs="Arial"/>
          <w:sz w:val="20"/>
          <w:szCs w:val="20"/>
        </w:rPr>
      </w:pPr>
      <w:r>
        <w:rPr>
          <w:rFonts w:ascii="Arial" w:hAnsi="Arial" w:cs="Arial"/>
          <w:sz w:val="20"/>
          <w:szCs w:val="20"/>
        </w:rPr>
        <w:t xml:space="preserve">Gaming Notifications at Licensed Premises </w:t>
      </w:r>
      <w:r>
        <w:rPr>
          <w:rFonts w:ascii="Arial" w:hAnsi="Arial" w:cs="Arial"/>
          <w:sz w:val="20"/>
          <w:szCs w:val="20"/>
        </w:rPr>
        <w:tab/>
      </w:r>
      <w:r>
        <w:rPr>
          <w:rFonts w:ascii="Arial" w:hAnsi="Arial" w:cs="Arial"/>
          <w:sz w:val="20"/>
          <w:szCs w:val="20"/>
        </w:rPr>
        <w:tab/>
        <w:t>23</w:t>
      </w:r>
      <w:r w:rsidR="00B769DB">
        <w:rPr>
          <w:rFonts w:ascii="Arial" w:hAnsi="Arial" w:cs="Arial"/>
          <w:sz w:val="20"/>
          <w:szCs w:val="20"/>
        </w:rPr>
        <w:t>2</w:t>
      </w:r>
    </w:p>
    <w:p w14:paraId="5346D2FC" w14:textId="77777777" w:rsidR="004A352B" w:rsidRDefault="004A352B" w:rsidP="003F6923">
      <w:pPr>
        <w:pStyle w:val="NoSpacing"/>
        <w:rPr>
          <w:rFonts w:ascii="Arial" w:hAnsi="Arial" w:cs="Arial"/>
          <w:sz w:val="20"/>
          <w:szCs w:val="20"/>
        </w:rPr>
      </w:pPr>
    </w:p>
    <w:p w14:paraId="5346D2FD" w14:textId="3CFA1F99" w:rsidR="000854F3" w:rsidRPr="00B56AD9" w:rsidRDefault="00DA387D" w:rsidP="003F6923">
      <w:pPr>
        <w:pStyle w:val="NoSpacing"/>
        <w:rPr>
          <w:rFonts w:ascii="Arial" w:hAnsi="Arial" w:cs="Arial"/>
          <w:sz w:val="20"/>
          <w:szCs w:val="20"/>
        </w:rPr>
      </w:pPr>
      <w:r>
        <w:rPr>
          <w:rFonts w:ascii="Arial" w:hAnsi="Arial" w:cs="Arial"/>
          <w:sz w:val="20"/>
          <w:szCs w:val="20"/>
        </w:rPr>
        <w:t xml:space="preserve">Unlicensed </w:t>
      </w:r>
      <w:r w:rsidR="000854F3">
        <w:rPr>
          <w:rFonts w:ascii="Arial" w:hAnsi="Arial" w:cs="Arial"/>
          <w:sz w:val="20"/>
          <w:szCs w:val="20"/>
        </w:rPr>
        <w:t>Family Entertainment Centre</w:t>
      </w:r>
      <w:r>
        <w:rPr>
          <w:rFonts w:ascii="Arial" w:hAnsi="Arial" w:cs="Arial"/>
          <w:sz w:val="20"/>
          <w:szCs w:val="20"/>
        </w:rPr>
        <w:t xml:space="preserve"> Permits</w:t>
      </w:r>
      <w:r w:rsidR="003B3FA8">
        <w:rPr>
          <w:rFonts w:ascii="Arial" w:hAnsi="Arial" w:cs="Arial"/>
          <w:sz w:val="20"/>
          <w:szCs w:val="20"/>
        </w:rPr>
        <w:tab/>
      </w:r>
      <w:r w:rsidR="00B769DB">
        <w:rPr>
          <w:rFonts w:ascii="Arial" w:hAnsi="Arial" w:cs="Arial"/>
          <w:sz w:val="20"/>
          <w:szCs w:val="20"/>
        </w:rPr>
        <w:t>2</w:t>
      </w:r>
    </w:p>
    <w:p w14:paraId="5346D2FE" w14:textId="77777777" w:rsidR="00B56AD9" w:rsidRPr="00246FFB" w:rsidRDefault="00246FFB" w:rsidP="003F6923">
      <w:pPr>
        <w:pStyle w:val="NoSpacing"/>
        <w:rPr>
          <w:rFonts w:ascii="Arial" w:hAnsi="Arial" w:cs="Arial"/>
          <w:sz w:val="20"/>
          <w:szCs w:val="20"/>
        </w:rPr>
      </w:pPr>
      <w:r w:rsidRPr="00246FFB">
        <w:rPr>
          <w:rFonts w:ascii="Arial" w:hAnsi="Arial" w:cs="Arial"/>
          <w:sz w:val="20"/>
          <w:szCs w:val="20"/>
        </w:rPr>
        <w:t xml:space="preserve">Non </w:t>
      </w:r>
      <w:r w:rsidR="004E4FF0" w:rsidRPr="00246FFB">
        <w:rPr>
          <w:rFonts w:ascii="Arial" w:hAnsi="Arial" w:cs="Arial"/>
          <w:sz w:val="20"/>
          <w:szCs w:val="20"/>
        </w:rPr>
        <w:t>Commercial</w:t>
      </w:r>
      <w:r w:rsidRPr="00246FFB">
        <w:rPr>
          <w:rFonts w:ascii="Arial" w:hAnsi="Arial" w:cs="Arial"/>
          <w:sz w:val="20"/>
          <w:szCs w:val="20"/>
        </w:rPr>
        <w:t xml:space="preserve"> Society Lottery Registrations </w:t>
      </w:r>
      <w:r w:rsidR="003B3FA8">
        <w:rPr>
          <w:rFonts w:ascii="Arial" w:hAnsi="Arial" w:cs="Arial"/>
          <w:sz w:val="20"/>
          <w:szCs w:val="20"/>
        </w:rPr>
        <w:tab/>
      </w:r>
      <w:r w:rsidR="003B3FA8">
        <w:rPr>
          <w:rFonts w:ascii="Arial" w:hAnsi="Arial" w:cs="Arial"/>
          <w:sz w:val="20"/>
          <w:szCs w:val="20"/>
        </w:rPr>
        <w:tab/>
      </w:r>
      <w:r w:rsidR="00DA387D">
        <w:rPr>
          <w:rFonts w:ascii="Arial" w:hAnsi="Arial" w:cs="Arial"/>
          <w:sz w:val="20"/>
          <w:szCs w:val="20"/>
        </w:rPr>
        <w:t>61</w:t>
      </w:r>
    </w:p>
    <w:p w14:paraId="5346D2FF" w14:textId="77777777" w:rsidR="00B56AD9" w:rsidRPr="0001157B" w:rsidRDefault="00B56AD9" w:rsidP="003F6923">
      <w:pPr>
        <w:pStyle w:val="NoSpacing"/>
        <w:rPr>
          <w:rFonts w:ascii="Arial" w:hAnsi="Arial" w:cs="Arial"/>
          <w:b/>
          <w:sz w:val="20"/>
          <w:szCs w:val="20"/>
        </w:rPr>
      </w:pPr>
    </w:p>
    <w:p w14:paraId="5346D300" w14:textId="77777777" w:rsidR="00465FAB" w:rsidRPr="0001157B" w:rsidRDefault="00465FAB" w:rsidP="003F6923">
      <w:pPr>
        <w:pStyle w:val="NoSpacing"/>
        <w:rPr>
          <w:rFonts w:ascii="Arial" w:hAnsi="Arial" w:cs="Arial"/>
          <w:b/>
          <w:sz w:val="20"/>
          <w:szCs w:val="20"/>
        </w:rPr>
      </w:pPr>
    </w:p>
    <w:sectPr w:rsidR="00465FAB" w:rsidRPr="0001157B" w:rsidSect="00E9326B">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C07F57" w14:textId="77777777" w:rsidR="00C9593B" w:rsidRDefault="00C9593B" w:rsidP="0001157B">
      <w:pPr>
        <w:spacing w:after="0" w:line="240" w:lineRule="auto"/>
      </w:pPr>
      <w:r>
        <w:separator/>
      </w:r>
    </w:p>
  </w:endnote>
  <w:endnote w:type="continuationSeparator" w:id="0">
    <w:p w14:paraId="7D9FF1CB" w14:textId="77777777" w:rsidR="00C9593B" w:rsidRDefault="00C9593B" w:rsidP="000115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46D307" w14:textId="3B4B6507" w:rsidR="0001157B" w:rsidRDefault="00362480">
    <w:pPr>
      <w:pStyle w:val="Footer"/>
    </w:pPr>
    <w:r>
      <w:fldChar w:fldCharType="begin"/>
    </w:r>
    <w:r>
      <w:instrText xml:space="preserve"> PAGE   \* MERGEFORMAT </w:instrText>
    </w:r>
    <w:r>
      <w:fldChar w:fldCharType="separate"/>
    </w:r>
    <w:r w:rsidR="00A52DDD">
      <w:rPr>
        <w:noProof/>
      </w:rPr>
      <w:t>2</w:t>
    </w:r>
    <w:r>
      <w:rPr>
        <w:noProof/>
      </w:rPr>
      <w:fldChar w:fldCharType="end"/>
    </w:r>
    <w:r>
      <w:ptab w:relativeTo="margin" w:alignment="center" w:leader="none"/>
    </w:r>
    <w:r>
      <w:ptab w:relativeTo="margin" w:alignment="right" w:leader="none"/>
    </w:r>
    <w:r w:rsidR="0091215F">
      <w:t>V1.</w:t>
    </w:r>
    <w:r w:rsidR="0054016F">
      <w:t>1</w:t>
    </w:r>
    <w:r>
      <w:t xml:space="preserve"> last modified </w:t>
    </w:r>
    <w:r w:rsidR="0054016F">
      <w:t>17</w:t>
    </w:r>
    <w:r w:rsidR="0091215F">
      <w:t xml:space="preserve"> </w:t>
    </w:r>
    <w:r w:rsidR="0054016F">
      <w:t>April 2024</w:t>
    </w:r>
  </w:p>
  <w:p w14:paraId="10E189DB" w14:textId="77777777" w:rsidR="0054016F" w:rsidRDefault="005401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BB06B1" w14:textId="77777777" w:rsidR="00C9593B" w:rsidRDefault="00C9593B" w:rsidP="0001157B">
      <w:pPr>
        <w:spacing w:after="0" w:line="240" w:lineRule="auto"/>
      </w:pPr>
      <w:r>
        <w:separator/>
      </w:r>
    </w:p>
  </w:footnote>
  <w:footnote w:type="continuationSeparator" w:id="0">
    <w:p w14:paraId="1B13484E" w14:textId="77777777" w:rsidR="00C9593B" w:rsidRDefault="00C9593B" w:rsidP="0001157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E52F45"/>
    <w:multiLevelType w:val="hybridMultilevel"/>
    <w:tmpl w:val="DE5E47E4"/>
    <w:lvl w:ilvl="0" w:tplc="67242C9C">
      <w:start w:val="3"/>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29A46A4"/>
    <w:multiLevelType w:val="hybridMultilevel"/>
    <w:tmpl w:val="C4C08D02"/>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2" w15:restartNumberingAfterBreak="0">
    <w:nsid w:val="215F0076"/>
    <w:multiLevelType w:val="hybridMultilevel"/>
    <w:tmpl w:val="9A6812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24D0DD2"/>
    <w:multiLevelType w:val="hybridMultilevel"/>
    <w:tmpl w:val="13D07CB6"/>
    <w:lvl w:ilvl="0" w:tplc="2B14F84C">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526F3D27"/>
    <w:multiLevelType w:val="hybridMultilevel"/>
    <w:tmpl w:val="9AE6D8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99F633C"/>
    <w:multiLevelType w:val="hybridMultilevel"/>
    <w:tmpl w:val="E10645E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461964050">
    <w:abstractNumId w:val="5"/>
  </w:num>
  <w:num w:numId="2" w16cid:durableId="1499803291">
    <w:abstractNumId w:val="4"/>
  </w:num>
  <w:num w:numId="3" w16cid:durableId="678582177">
    <w:abstractNumId w:val="1"/>
  </w:num>
  <w:num w:numId="4" w16cid:durableId="814680843">
    <w:abstractNumId w:val="2"/>
  </w:num>
  <w:num w:numId="5" w16cid:durableId="1425682733">
    <w:abstractNumId w:val="0"/>
  </w:num>
  <w:num w:numId="6" w16cid:durableId="61112724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5508054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F6923"/>
    <w:rsid w:val="000075B8"/>
    <w:rsid w:val="0001029B"/>
    <w:rsid w:val="0001157B"/>
    <w:rsid w:val="00021A46"/>
    <w:rsid w:val="00021C84"/>
    <w:rsid w:val="000854F3"/>
    <w:rsid w:val="000A26EC"/>
    <w:rsid w:val="000A5FEB"/>
    <w:rsid w:val="000F5681"/>
    <w:rsid w:val="00102DC4"/>
    <w:rsid w:val="00121327"/>
    <w:rsid w:val="00127A6D"/>
    <w:rsid w:val="00147C25"/>
    <w:rsid w:val="00161138"/>
    <w:rsid w:val="00167025"/>
    <w:rsid w:val="00172335"/>
    <w:rsid w:val="001867BB"/>
    <w:rsid w:val="001930FA"/>
    <w:rsid w:val="001A528E"/>
    <w:rsid w:val="001A7E23"/>
    <w:rsid w:val="001F372C"/>
    <w:rsid w:val="002054BC"/>
    <w:rsid w:val="00246FFB"/>
    <w:rsid w:val="00254475"/>
    <w:rsid w:val="002606B9"/>
    <w:rsid w:val="00261C86"/>
    <w:rsid w:val="00273A54"/>
    <w:rsid w:val="00293CAF"/>
    <w:rsid w:val="002B173C"/>
    <w:rsid w:val="002B306B"/>
    <w:rsid w:val="002F5F60"/>
    <w:rsid w:val="00314527"/>
    <w:rsid w:val="003401C0"/>
    <w:rsid w:val="00354C6D"/>
    <w:rsid w:val="00361620"/>
    <w:rsid w:val="00362480"/>
    <w:rsid w:val="00374E1A"/>
    <w:rsid w:val="00392F67"/>
    <w:rsid w:val="003A1148"/>
    <w:rsid w:val="003B3FA8"/>
    <w:rsid w:val="003F4C43"/>
    <w:rsid w:val="003F6923"/>
    <w:rsid w:val="00465FAB"/>
    <w:rsid w:val="00480366"/>
    <w:rsid w:val="004921FD"/>
    <w:rsid w:val="004A352B"/>
    <w:rsid w:val="004D5C6B"/>
    <w:rsid w:val="004E4FF0"/>
    <w:rsid w:val="0050574E"/>
    <w:rsid w:val="005203CC"/>
    <w:rsid w:val="0054016F"/>
    <w:rsid w:val="00552BD1"/>
    <w:rsid w:val="005866CD"/>
    <w:rsid w:val="005C3C51"/>
    <w:rsid w:val="005E40F1"/>
    <w:rsid w:val="0060127E"/>
    <w:rsid w:val="00617F77"/>
    <w:rsid w:val="00630847"/>
    <w:rsid w:val="006645EC"/>
    <w:rsid w:val="006B0623"/>
    <w:rsid w:val="006B26B9"/>
    <w:rsid w:val="006B7002"/>
    <w:rsid w:val="00707064"/>
    <w:rsid w:val="0074079C"/>
    <w:rsid w:val="00742DFD"/>
    <w:rsid w:val="0077506C"/>
    <w:rsid w:val="0079495E"/>
    <w:rsid w:val="00796158"/>
    <w:rsid w:val="007B2532"/>
    <w:rsid w:val="007C4FB4"/>
    <w:rsid w:val="007D30E4"/>
    <w:rsid w:val="007E3DB8"/>
    <w:rsid w:val="00820D83"/>
    <w:rsid w:val="008B0420"/>
    <w:rsid w:val="008B17F2"/>
    <w:rsid w:val="008D0B84"/>
    <w:rsid w:val="0091215F"/>
    <w:rsid w:val="00916D15"/>
    <w:rsid w:val="00944A1B"/>
    <w:rsid w:val="009513B2"/>
    <w:rsid w:val="00956395"/>
    <w:rsid w:val="00964044"/>
    <w:rsid w:val="00975A12"/>
    <w:rsid w:val="00984A6C"/>
    <w:rsid w:val="009A3144"/>
    <w:rsid w:val="00A326EB"/>
    <w:rsid w:val="00A44733"/>
    <w:rsid w:val="00A52DDD"/>
    <w:rsid w:val="00AB449B"/>
    <w:rsid w:val="00AE172D"/>
    <w:rsid w:val="00B11956"/>
    <w:rsid w:val="00B1419F"/>
    <w:rsid w:val="00B378A3"/>
    <w:rsid w:val="00B50D4D"/>
    <w:rsid w:val="00B56AD9"/>
    <w:rsid w:val="00B769DB"/>
    <w:rsid w:val="00BB1616"/>
    <w:rsid w:val="00BF0E1E"/>
    <w:rsid w:val="00C573C7"/>
    <w:rsid w:val="00C7532D"/>
    <w:rsid w:val="00C9593B"/>
    <w:rsid w:val="00CD4349"/>
    <w:rsid w:val="00D17307"/>
    <w:rsid w:val="00D20163"/>
    <w:rsid w:val="00D334BB"/>
    <w:rsid w:val="00D378B2"/>
    <w:rsid w:val="00D40FB8"/>
    <w:rsid w:val="00D44798"/>
    <w:rsid w:val="00D714C9"/>
    <w:rsid w:val="00D722A7"/>
    <w:rsid w:val="00DA387D"/>
    <w:rsid w:val="00DA66C0"/>
    <w:rsid w:val="00DB47ED"/>
    <w:rsid w:val="00DE0DBA"/>
    <w:rsid w:val="00DF236D"/>
    <w:rsid w:val="00E24559"/>
    <w:rsid w:val="00E2605D"/>
    <w:rsid w:val="00E279F2"/>
    <w:rsid w:val="00E64192"/>
    <w:rsid w:val="00E9326B"/>
    <w:rsid w:val="00E9595C"/>
    <w:rsid w:val="00EB13AC"/>
    <w:rsid w:val="00EC5B6E"/>
    <w:rsid w:val="00ED448B"/>
    <w:rsid w:val="00ED7333"/>
    <w:rsid w:val="00EE5E1D"/>
    <w:rsid w:val="00EF5B5A"/>
    <w:rsid w:val="00F56CD1"/>
    <w:rsid w:val="00F57751"/>
    <w:rsid w:val="00F634B3"/>
    <w:rsid w:val="00F812C0"/>
    <w:rsid w:val="00F84151"/>
    <w:rsid w:val="00FA36E8"/>
    <w:rsid w:val="00FA496D"/>
    <w:rsid w:val="00FD08D1"/>
    <w:rsid w:val="00FE6D4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46D210"/>
  <w15:docId w15:val="{3DD8CFE2-3610-4EF0-872C-FC09B2FCA3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3F6923"/>
    <w:pPr>
      <w:spacing w:after="0" w:line="240" w:lineRule="auto"/>
    </w:pPr>
  </w:style>
  <w:style w:type="paragraph" w:styleId="Header">
    <w:name w:val="header"/>
    <w:basedOn w:val="Normal"/>
    <w:link w:val="HeaderChar"/>
    <w:uiPriority w:val="99"/>
    <w:unhideWhenUsed/>
    <w:rsid w:val="0001157B"/>
    <w:pPr>
      <w:tabs>
        <w:tab w:val="center" w:pos="4513"/>
        <w:tab w:val="right" w:pos="9026"/>
      </w:tabs>
      <w:spacing w:after="0" w:line="240" w:lineRule="auto"/>
    </w:pPr>
  </w:style>
  <w:style w:type="character" w:customStyle="1" w:styleId="HeaderChar">
    <w:name w:val="Header Char"/>
    <w:basedOn w:val="DefaultParagraphFont"/>
    <w:link w:val="Header"/>
    <w:uiPriority w:val="99"/>
    <w:rsid w:val="0001157B"/>
  </w:style>
  <w:style w:type="paragraph" w:styleId="Footer">
    <w:name w:val="footer"/>
    <w:basedOn w:val="Normal"/>
    <w:link w:val="FooterChar"/>
    <w:uiPriority w:val="99"/>
    <w:unhideWhenUsed/>
    <w:rsid w:val="0001157B"/>
    <w:pPr>
      <w:tabs>
        <w:tab w:val="center" w:pos="4513"/>
        <w:tab w:val="right" w:pos="9026"/>
      </w:tabs>
      <w:spacing w:after="0" w:line="240" w:lineRule="auto"/>
    </w:pPr>
  </w:style>
  <w:style w:type="character" w:customStyle="1" w:styleId="FooterChar">
    <w:name w:val="Footer Char"/>
    <w:basedOn w:val="DefaultParagraphFont"/>
    <w:link w:val="Footer"/>
    <w:uiPriority w:val="99"/>
    <w:rsid w:val="0001157B"/>
  </w:style>
  <w:style w:type="character" w:styleId="Hyperlink">
    <w:name w:val="Hyperlink"/>
    <w:basedOn w:val="DefaultParagraphFont"/>
    <w:uiPriority w:val="99"/>
    <w:unhideWhenUsed/>
    <w:rsid w:val="006B7002"/>
    <w:rPr>
      <w:color w:val="0000FF" w:themeColor="hyperlink"/>
      <w:u w:val="single"/>
    </w:rPr>
  </w:style>
  <w:style w:type="paragraph" w:styleId="BalloonText">
    <w:name w:val="Balloon Text"/>
    <w:basedOn w:val="Normal"/>
    <w:link w:val="BalloonTextChar"/>
    <w:uiPriority w:val="99"/>
    <w:semiHidden/>
    <w:unhideWhenUsed/>
    <w:rsid w:val="0079495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9495E"/>
    <w:rPr>
      <w:rFonts w:ascii="Tahoma" w:hAnsi="Tahoma" w:cs="Tahoma"/>
      <w:sz w:val="16"/>
      <w:szCs w:val="16"/>
    </w:rPr>
  </w:style>
  <w:style w:type="paragraph" w:styleId="ListParagraph">
    <w:name w:val="List Paragraph"/>
    <w:basedOn w:val="Normal"/>
    <w:uiPriority w:val="34"/>
    <w:qFormat/>
    <w:rsid w:val="00956395"/>
    <w:pPr>
      <w:ind w:left="720"/>
      <w:contextualSpacing/>
    </w:pPr>
  </w:style>
  <w:style w:type="character" w:styleId="FollowedHyperlink">
    <w:name w:val="FollowedHyperlink"/>
    <w:basedOn w:val="DefaultParagraphFont"/>
    <w:uiPriority w:val="99"/>
    <w:semiHidden/>
    <w:unhideWhenUsed/>
    <w:rsid w:val="00ED733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01225">
      <w:bodyDiv w:val="1"/>
      <w:marLeft w:val="0"/>
      <w:marRight w:val="0"/>
      <w:marTop w:val="0"/>
      <w:marBottom w:val="0"/>
      <w:divBdr>
        <w:top w:val="none" w:sz="0" w:space="0" w:color="auto"/>
        <w:left w:val="none" w:sz="0" w:space="0" w:color="auto"/>
        <w:bottom w:val="none" w:sz="0" w:space="0" w:color="auto"/>
        <w:right w:val="none" w:sz="0" w:space="0" w:color="auto"/>
      </w:divBdr>
    </w:div>
    <w:div w:id="140972530">
      <w:bodyDiv w:val="1"/>
      <w:marLeft w:val="0"/>
      <w:marRight w:val="0"/>
      <w:marTop w:val="0"/>
      <w:marBottom w:val="0"/>
      <w:divBdr>
        <w:top w:val="none" w:sz="0" w:space="0" w:color="auto"/>
        <w:left w:val="none" w:sz="0" w:space="0" w:color="auto"/>
        <w:bottom w:val="none" w:sz="0" w:space="0" w:color="auto"/>
        <w:right w:val="none" w:sz="0" w:space="0" w:color="auto"/>
      </w:divBdr>
    </w:div>
    <w:div w:id="188304872">
      <w:bodyDiv w:val="1"/>
      <w:marLeft w:val="0"/>
      <w:marRight w:val="0"/>
      <w:marTop w:val="0"/>
      <w:marBottom w:val="0"/>
      <w:divBdr>
        <w:top w:val="none" w:sz="0" w:space="0" w:color="auto"/>
        <w:left w:val="none" w:sz="0" w:space="0" w:color="auto"/>
        <w:bottom w:val="none" w:sz="0" w:space="0" w:color="auto"/>
        <w:right w:val="none" w:sz="0" w:space="0" w:color="auto"/>
      </w:divBdr>
      <w:divsChild>
        <w:div w:id="1153062732">
          <w:marLeft w:val="0"/>
          <w:marRight w:val="0"/>
          <w:marTop w:val="0"/>
          <w:marBottom w:val="0"/>
          <w:divBdr>
            <w:top w:val="none" w:sz="0" w:space="0" w:color="auto"/>
            <w:left w:val="none" w:sz="0" w:space="0" w:color="auto"/>
            <w:bottom w:val="none" w:sz="0" w:space="0" w:color="auto"/>
            <w:right w:val="none" w:sz="0" w:space="0" w:color="auto"/>
          </w:divBdr>
        </w:div>
        <w:div w:id="356663916">
          <w:marLeft w:val="0"/>
          <w:marRight w:val="0"/>
          <w:marTop w:val="0"/>
          <w:marBottom w:val="0"/>
          <w:divBdr>
            <w:top w:val="none" w:sz="0" w:space="0" w:color="auto"/>
            <w:left w:val="none" w:sz="0" w:space="0" w:color="auto"/>
            <w:bottom w:val="none" w:sz="0" w:space="0" w:color="auto"/>
            <w:right w:val="none" w:sz="0" w:space="0" w:color="auto"/>
          </w:divBdr>
        </w:div>
        <w:div w:id="1314261472">
          <w:marLeft w:val="0"/>
          <w:marRight w:val="0"/>
          <w:marTop w:val="0"/>
          <w:marBottom w:val="0"/>
          <w:divBdr>
            <w:top w:val="none" w:sz="0" w:space="0" w:color="auto"/>
            <w:left w:val="none" w:sz="0" w:space="0" w:color="auto"/>
            <w:bottom w:val="none" w:sz="0" w:space="0" w:color="auto"/>
            <w:right w:val="none" w:sz="0" w:space="0" w:color="auto"/>
          </w:divBdr>
        </w:div>
        <w:div w:id="1881166552">
          <w:marLeft w:val="0"/>
          <w:marRight w:val="0"/>
          <w:marTop w:val="0"/>
          <w:marBottom w:val="0"/>
          <w:divBdr>
            <w:top w:val="none" w:sz="0" w:space="0" w:color="auto"/>
            <w:left w:val="none" w:sz="0" w:space="0" w:color="auto"/>
            <w:bottom w:val="none" w:sz="0" w:space="0" w:color="auto"/>
            <w:right w:val="none" w:sz="0" w:space="0" w:color="auto"/>
          </w:divBdr>
        </w:div>
        <w:div w:id="1237204381">
          <w:marLeft w:val="0"/>
          <w:marRight w:val="0"/>
          <w:marTop w:val="0"/>
          <w:marBottom w:val="0"/>
          <w:divBdr>
            <w:top w:val="none" w:sz="0" w:space="0" w:color="auto"/>
            <w:left w:val="none" w:sz="0" w:space="0" w:color="auto"/>
            <w:bottom w:val="none" w:sz="0" w:space="0" w:color="auto"/>
            <w:right w:val="none" w:sz="0" w:space="0" w:color="auto"/>
          </w:divBdr>
        </w:div>
        <w:div w:id="1554659799">
          <w:marLeft w:val="0"/>
          <w:marRight w:val="0"/>
          <w:marTop w:val="0"/>
          <w:marBottom w:val="0"/>
          <w:divBdr>
            <w:top w:val="none" w:sz="0" w:space="0" w:color="auto"/>
            <w:left w:val="none" w:sz="0" w:space="0" w:color="auto"/>
            <w:bottom w:val="none" w:sz="0" w:space="0" w:color="auto"/>
            <w:right w:val="none" w:sz="0" w:space="0" w:color="auto"/>
          </w:divBdr>
        </w:div>
        <w:div w:id="19747826">
          <w:marLeft w:val="0"/>
          <w:marRight w:val="0"/>
          <w:marTop w:val="0"/>
          <w:marBottom w:val="0"/>
          <w:divBdr>
            <w:top w:val="none" w:sz="0" w:space="0" w:color="auto"/>
            <w:left w:val="none" w:sz="0" w:space="0" w:color="auto"/>
            <w:bottom w:val="none" w:sz="0" w:space="0" w:color="auto"/>
            <w:right w:val="none" w:sz="0" w:space="0" w:color="auto"/>
          </w:divBdr>
        </w:div>
      </w:divsChild>
    </w:div>
    <w:div w:id="299649155">
      <w:bodyDiv w:val="1"/>
      <w:marLeft w:val="0"/>
      <w:marRight w:val="0"/>
      <w:marTop w:val="0"/>
      <w:marBottom w:val="0"/>
      <w:divBdr>
        <w:top w:val="none" w:sz="0" w:space="0" w:color="auto"/>
        <w:left w:val="none" w:sz="0" w:space="0" w:color="auto"/>
        <w:bottom w:val="none" w:sz="0" w:space="0" w:color="auto"/>
        <w:right w:val="none" w:sz="0" w:space="0" w:color="auto"/>
      </w:divBdr>
      <w:divsChild>
        <w:div w:id="1282999575">
          <w:marLeft w:val="0"/>
          <w:marRight w:val="0"/>
          <w:marTop w:val="0"/>
          <w:marBottom w:val="0"/>
          <w:divBdr>
            <w:top w:val="none" w:sz="0" w:space="0" w:color="auto"/>
            <w:left w:val="none" w:sz="0" w:space="0" w:color="auto"/>
            <w:bottom w:val="none" w:sz="0" w:space="0" w:color="auto"/>
            <w:right w:val="none" w:sz="0" w:space="0" w:color="auto"/>
          </w:divBdr>
        </w:div>
        <w:div w:id="1019357754">
          <w:marLeft w:val="0"/>
          <w:marRight w:val="0"/>
          <w:marTop w:val="0"/>
          <w:marBottom w:val="0"/>
          <w:divBdr>
            <w:top w:val="none" w:sz="0" w:space="0" w:color="auto"/>
            <w:left w:val="none" w:sz="0" w:space="0" w:color="auto"/>
            <w:bottom w:val="none" w:sz="0" w:space="0" w:color="auto"/>
            <w:right w:val="none" w:sz="0" w:space="0" w:color="auto"/>
          </w:divBdr>
        </w:div>
        <w:div w:id="89206072">
          <w:marLeft w:val="0"/>
          <w:marRight w:val="0"/>
          <w:marTop w:val="0"/>
          <w:marBottom w:val="0"/>
          <w:divBdr>
            <w:top w:val="none" w:sz="0" w:space="0" w:color="auto"/>
            <w:left w:val="none" w:sz="0" w:space="0" w:color="auto"/>
            <w:bottom w:val="none" w:sz="0" w:space="0" w:color="auto"/>
            <w:right w:val="none" w:sz="0" w:space="0" w:color="auto"/>
          </w:divBdr>
        </w:div>
        <w:div w:id="1510755242">
          <w:marLeft w:val="0"/>
          <w:marRight w:val="0"/>
          <w:marTop w:val="0"/>
          <w:marBottom w:val="0"/>
          <w:divBdr>
            <w:top w:val="none" w:sz="0" w:space="0" w:color="auto"/>
            <w:left w:val="none" w:sz="0" w:space="0" w:color="auto"/>
            <w:bottom w:val="none" w:sz="0" w:space="0" w:color="auto"/>
            <w:right w:val="none" w:sz="0" w:space="0" w:color="auto"/>
          </w:divBdr>
        </w:div>
        <w:div w:id="1651132545">
          <w:marLeft w:val="0"/>
          <w:marRight w:val="0"/>
          <w:marTop w:val="0"/>
          <w:marBottom w:val="0"/>
          <w:divBdr>
            <w:top w:val="none" w:sz="0" w:space="0" w:color="auto"/>
            <w:left w:val="none" w:sz="0" w:space="0" w:color="auto"/>
            <w:bottom w:val="none" w:sz="0" w:space="0" w:color="auto"/>
            <w:right w:val="none" w:sz="0" w:space="0" w:color="auto"/>
          </w:divBdr>
        </w:div>
        <w:div w:id="265618232">
          <w:marLeft w:val="0"/>
          <w:marRight w:val="0"/>
          <w:marTop w:val="0"/>
          <w:marBottom w:val="0"/>
          <w:divBdr>
            <w:top w:val="none" w:sz="0" w:space="0" w:color="auto"/>
            <w:left w:val="none" w:sz="0" w:space="0" w:color="auto"/>
            <w:bottom w:val="none" w:sz="0" w:space="0" w:color="auto"/>
            <w:right w:val="none" w:sz="0" w:space="0" w:color="auto"/>
          </w:divBdr>
        </w:div>
      </w:divsChild>
    </w:div>
    <w:div w:id="889419174">
      <w:bodyDiv w:val="1"/>
      <w:marLeft w:val="0"/>
      <w:marRight w:val="0"/>
      <w:marTop w:val="0"/>
      <w:marBottom w:val="0"/>
      <w:divBdr>
        <w:top w:val="none" w:sz="0" w:space="0" w:color="auto"/>
        <w:left w:val="none" w:sz="0" w:space="0" w:color="auto"/>
        <w:bottom w:val="none" w:sz="0" w:space="0" w:color="auto"/>
        <w:right w:val="none" w:sz="0" w:space="0" w:color="auto"/>
      </w:divBdr>
      <w:divsChild>
        <w:div w:id="48461717">
          <w:marLeft w:val="0"/>
          <w:marRight w:val="0"/>
          <w:marTop w:val="0"/>
          <w:marBottom w:val="0"/>
          <w:divBdr>
            <w:top w:val="none" w:sz="0" w:space="0" w:color="auto"/>
            <w:left w:val="none" w:sz="0" w:space="0" w:color="auto"/>
            <w:bottom w:val="none" w:sz="0" w:space="0" w:color="auto"/>
            <w:right w:val="none" w:sz="0" w:space="0" w:color="auto"/>
          </w:divBdr>
        </w:div>
        <w:div w:id="814025541">
          <w:marLeft w:val="0"/>
          <w:marRight w:val="0"/>
          <w:marTop w:val="0"/>
          <w:marBottom w:val="0"/>
          <w:divBdr>
            <w:top w:val="none" w:sz="0" w:space="0" w:color="auto"/>
            <w:left w:val="none" w:sz="0" w:space="0" w:color="auto"/>
            <w:bottom w:val="none" w:sz="0" w:space="0" w:color="auto"/>
            <w:right w:val="none" w:sz="0" w:space="0" w:color="auto"/>
          </w:divBdr>
        </w:div>
        <w:div w:id="1805655877">
          <w:marLeft w:val="0"/>
          <w:marRight w:val="0"/>
          <w:marTop w:val="0"/>
          <w:marBottom w:val="0"/>
          <w:divBdr>
            <w:top w:val="none" w:sz="0" w:space="0" w:color="auto"/>
            <w:left w:val="none" w:sz="0" w:space="0" w:color="auto"/>
            <w:bottom w:val="none" w:sz="0" w:space="0" w:color="auto"/>
            <w:right w:val="none" w:sz="0" w:space="0" w:color="auto"/>
          </w:divBdr>
        </w:div>
        <w:div w:id="600602082">
          <w:marLeft w:val="0"/>
          <w:marRight w:val="0"/>
          <w:marTop w:val="0"/>
          <w:marBottom w:val="0"/>
          <w:divBdr>
            <w:top w:val="none" w:sz="0" w:space="0" w:color="auto"/>
            <w:left w:val="none" w:sz="0" w:space="0" w:color="auto"/>
            <w:bottom w:val="none" w:sz="0" w:space="0" w:color="auto"/>
            <w:right w:val="none" w:sz="0" w:space="0" w:color="auto"/>
          </w:divBdr>
        </w:div>
        <w:div w:id="306478719">
          <w:marLeft w:val="0"/>
          <w:marRight w:val="0"/>
          <w:marTop w:val="0"/>
          <w:marBottom w:val="0"/>
          <w:divBdr>
            <w:top w:val="none" w:sz="0" w:space="0" w:color="auto"/>
            <w:left w:val="none" w:sz="0" w:space="0" w:color="auto"/>
            <w:bottom w:val="none" w:sz="0" w:space="0" w:color="auto"/>
            <w:right w:val="none" w:sz="0" w:space="0" w:color="auto"/>
          </w:divBdr>
        </w:div>
        <w:div w:id="74860464">
          <w:marLeft w:val="0"/>
          <w:marRight w:val="0"/>
          <w:marTop w:val="0"/>
          <w:marBottom w:val="0"/>
          <w:divBdr>
            <w:top w:val="none" w:sz="0" w:space="0" w:color="auto"/>
            <w:left w:val="none" w:sz="0" w:space="0" w:color="auto"/>
            <w:bottom w:val="none" w:sz="0" w:space="0" w:color="auto"/>
            <w:right w:val="none" w:sz="0" w:space="0" w:color="auto"/>
          </w:divBdr>
        </w:div>
        <w:div w:id="1109617075">
          <w:marLeft w:val="0"/>
          <w:marRight w:val="0"/>
          <w:marTop w:val="0"/>
          <w:marBottom w:val="0"/>
          <w:divBdr>
            <w:top w:val="none" w:sz="0" w:space="0" w:color="auto"/>
            <w:left w:val="none" w:sz="0" w:space="0" w:color="auto"/>
            <w:bottom w:val="none" w:sz="0" w:space="0" w:color="auto"/>
            <w:right w:val="none" w:sz="0" w:space="0" w:color="auto"/>
          </w:divBdr>
        </w:div>
        <w:div w:id="694884362">
          <w:marLeft w:val="0"/>
          <w:marRight w:val="0"/>
          <w:marTop w:val="0"/>
          <w:marBottom w:val="0"/>
          <w:divBdr>
            <w:top w:val="none" w:sz="0" w:space="0" w:color="auto"/>
            <w:left w:val="none" w:sz="0" w:space="0" w:color="auto"/>
            <w:bottom w:val="none" w:sz="0" w:space="0" w:color="auto"/>
            <w:right w:val="none" w:sz="0" w:space="0" w:color="auto"/>
          </w:divBdr>
        </w:div>
        <w:div w:id="1284537524">
          <w:marLeft w:val="0"/>
          <w:marRight w:val="0"/>
          <w:marTop w:val="0"/>
          <w:marBottom w:val="0"/>
          <w:divBdr>
            <w:top w:val="none" w:sz="0" w:space="0" w:color="auto"/>
            <w:left w:val="none" w:sz="0" w:space="0" w:color="auto"/>
            <w:bottom w:val="none" w:sz="0" w:space="0" w:color="auto"/>
            <w:right w:val="none" w:sz="0" w:space="0" w:color="auto"/>
          </w:divBdr>
        </w:div>
        <w:div w:id="964239270">
          <w:marLeft w:val="0"/>
          <w:marRight w:val="0"/>
          <w:marTop w:val="0"/>
          <w:marBottom w:val="0"/>
          <w:divBdr>
            <w:top w:val="none" w:sz="0" w:space="0" w:color="auto"/>
            <w:left w:val="none" w:sz="0" w:space="0" w:color="auto"/>
            <w:bottom w:val="none" w:sz="0" w:space="0" w:color="auto"/>
            <w:right w:val="none" w:sz="0" w:space="0" w:color="auto"/>
          </w:divBdr>
        </w:div>
      </w:divsChild>
    </w:div>
    <w:div w:id="928198790">
      <w:bodyDiv w:val="1"/>
      <w:marLeft w:val="0"/>
      <w:marRight w:val="0"/>
      <w:marTop w:val="0"/>
      <w:marBottom w:val="0"/>
      <w:divBdr>
        <w:top w:val="none" w:sz="0" w:space="0" w:color="auto"/>
        <w:left w:val="none" w:sz="0" w:space="0" w:color="auto"/>
        <w:bottom w:val="none" w:sz="0" w:space="0" w:color="auto"/>
        <w:right w:val="none" w:sz="0" w:space="0" w:color="auto"/>
      </w:divBdr>
      <w:divsChild>
        <w:div w:id="640228836">
          <w:marLeft w:val="0"/>
          <w:marRight w:val="0"/>
          <w:marTop w:val="0"/>
          <w:marBottom w:val="0"/>
          <w:divBdr>
            <w:top w:val="none" w:sz="0" w:space="0" w:color="auto"/>
            <w:left w:val="none" w:sz="0" w:space="0" w:color="auto"/>
            <w:bottom w:val="none" w:sz="0" w:space="0" w:color="auto"/>
            <w:right w:val="none" w:sz="0" w:space="0" w:color="auto"/>
          </w:divBdr>
        </w:div>
        <w:div w:id="852955090">
          <w:marLeft w:val="0"/>
          <w:marRight w:val="0"/>
          <w:marTop w:val="0"/>
          <w:marBottom w:val="0"/>
          <w:divBdr>
            <w:top w:val="none" w:sz="0" w:space="0" w:color="auto"/>
            <w:left w:val="none" w:sz="0" w:space="0" w:color="auto"/>
            <w:bottom w:val="none" w:sz="0" w:space="0" w:color="auto"/>
            <w:right w:val="none" w:sz="0" w:space="0" w:color="auto"/>
          </w:divBdr>
        </w:div>
        <w:div w:id="1750301392">
          <w:marLeft w:val="0"/>
          <w:marRight w:val="0"/>
          <w:marTop w:val="0"/>
          <w:marBottom w:val="0"/>
          <w:divBdr>
            <w:top w:val="none" w:sz="0" w:space="0" w:color="auto"/>
            <w:left w:val="none" w:sz="0" w:space="0" w:color="auto"/>
            <w:bottom w:val="none" w:sz="0" w:space="0" w:color="auto"/>
            <w:right w:val="none" w:sz="0" w:space="0" w:color="auto"/>
          </w:divBdr>
        </w:div>
        <w:div w:id="656691500">
          <w:marLeft w:val="0"/>
          <w:marRight w:val="0"/>
          <w:marTop w:val="0"/>
          <w:marBottom w:val="0"/>
          <w:divBdr>
            <w:top w:val="none" w:sz="0" w:space="0" w:color="auto"/>
            <w:left w:val="none" w:sz="0" w:space="0" w:color="auto"/>
            <w:bottom w:val="none" w:sz="0" w:space="0" w:color="auto"/>
            <w:right w:val="none" w:sz="0" w:space="0" w:color="auto"/>
          </w:divBdr>
        </w:div>
        <w:div w:id="328294752">
          <w:marLeft w:val="0"/>
          <w:marRight w:val="0"/>
          <w:marTop w:val="0"/>
          <w:marBottom w:val="0"/>
          <w:divBdr>
            <w:top w:val="none" w:sz="0" w:space="0" w:color="auto"/>
            <w:left w:val="none" w:sz="0" w:space="0" w:color="auto"/>
            <w:bottom w:val="none" w:sz="0" w:space="0" w:color="auto"/>
            <w:right w:val="none" w:sz="0" w:space="0" w:color="auto"/>
          </w:divBdr>
        </w:div>
        <w:div w:id="1127624240">
          <w:marLeft w:val="0"/>
          <w:marRight w:val="0"/>
          <w:marTop w:val="0"/>
          <w:marBottom w:val="0"/>
          <w:divBdr>
            <w:top w:val="none" w:sz="0" w:space="0" w:color="auto"/>
            <w:left w:val="none" w:sz="0" w:space="0" w:color="auto"/>
            <w:bottom w:val="none" w:sz="0" w:space="0" w:color="auto"/>
            <w:right w:val="none" w:sz="0" w:space="0" w:color="auto"/>
          </w:divBdr>
        </w:div>
        <w:div w:id="2033917714">
          <w:marLeft w:val="0"/>
          <w:marRight w:val="0"/>
          <w:marTop w:val="0"/>
          <w:marBottom w:val="0"/>
          <w:divBdr>
            <w:top w:val="none" w:sz="0" w:space="0" w:color="auto"/>
            <w:left w:val="none" w:sz="0" w:space="0" w:color="auto"/>
            <w:bottom w:val="none" w:sz="0" w:space="0" w:color="auto"/>
            <w:right w:val="none" w:sz="0" w:space="0" w:color="auto"/>
          </w:divBdr>
        </w:div>
        <w:div w:id="340014959">
          <w:marLeft w:val="0"/>
          <w:marRight w:val="0"/>
          <w:marTop w:val="0"/>
          <w:marBottom w:val="0"/>
          <w:divBdr>
            <w:top w:val="none" w:sz="0" w:space="0" w:color="auto"/>
            <w:left w:val="none" w:sz="0" w:space="0" w:color="auto"/>
            <w:bottom w:val="none" w:sz="0" w:space="0" w:color="auto"/>
            <w:right w:val="none" w:sz="0" w:space="0" w:color="auto"/>
          </w:divBdr>
        </w:div>
        <w:div w:id="730888863">
          <w:marLeft w:val="0"/>
          <w:marRight w:val="0"/>
          <w:marTop w:val="0"/>
          <w:marBottom w:val="0"/>
          <w:divBdr>
            <w:top w:val="none" w:sz="0" w:space="0" w:color="auto"/>
            <w:left w:val="none" w:sz="0" w:space="0" w:color="auto"/>
            <w:bottom w:val="none" w:sz="0" w:space="0" w:color="auto"/>
            <w:right w:val="none" w:sz="0" w:space="0" w:color="auto"/>
          </w:divBdr>
        </w:div>
        <w:div w:id="1496801872">
          <w:marLeft w:val="0"/>
          <w:marRight w:val="0"/>
          <w:marTop w:val="0"/>
          <w:marBottom w:val="0"/>
          <w:divBdr>
            <w:top w:val="none" w:sz="0" w:space="0" w:color="auto"/>
            <w:left w:val="none" w:sz="0" w:space="0" w:color="auto"/>
            <w:bottom w:val="none" w:sz="0" w:space="0" w:color="auto"/>
            <w:right w:val="none" w:sz="0" w:space="0" w:color="auto"/>
          </w:divBdr>
        </w:div>
        <w:div w:id="1142041384">
          <w:marLeft w:val="0"/>
          <w:marRight w:val="0"/>
          <w:marTop w:val="0"/>
          <w:marBottom w:val="0"/>
          <w:divBdr>
            <w:top w:val="none" w:sz="0" w:space="0" w:color="auto"/>
            <w:left w:val="none" w:sz="0" w:space="0" w:color="auto"/>
            <w:bottom w:val="none" w:sz="0" w:space="0" w:color="auto"/>
            <w:right w:val="none" w:sz="0" w:space="0" w:color="auto"/>
          </w:divBdr>
        </w:div>
      </w:divsChild>
    </w:div>
    <w:div w:id="964851814">
      <w:bodyDiv w:val="1"/>
      <w:marLeft w:val="0"/>
      <w:marRight w:val="0"/>
      <w:marTop w:val="0"/>
      <w:marBottom w:val="0"/>
      <w:divBdr>
        <w:top w:val="none" w:sz="0" w:space="0" w:color="auto"/>
        <w:left w:val="none" w:sz="0" w:space="0" w:color="auto"/>
        <w:bottom w:val="none" w:sz="0" w:space="0" w:color="auto"/>
        <w:right w:val="none" w:sz="0" w:space="0" w:color="auto"/>
      </w:divBdr>
      <w:divsChild>
        <w:div w:id="85617158">
          <w:marLeft w:val="0"/>
          <w:marRight w:val="0"/>
          <w:marTop w:val="0"/>
          <w:marBottom w:val="0"/>
          <w:divBdr>
            <w:top w:val="none" w:sz="0" w:space="0" w:color="auto"/>
            <w:left w:val="none" w:sz="0" w:space="0" w:color="auto"/>
            <w:bottom w:val="none" w:sz="0" w:space="0" w:color="auto"/>
            <w:right w:val="none" w:sz="0" w:space="0" w:color="auto"/>
          </w:divBdr>
        </w:div>
        <w:div w:id="442265670">
          <w:marLeft w:val="0"/>
          <w:marRight w:val="0"/>
          <w:marTop w:val="0"/>
          <w:marBottom w:val="0"/>
          <w:divBdr>
            <w:top w:val="none" w:sz="0" w:space="0" w:color="auto"/>
            <w:left w:val="none" w:sz="0" w:space="0" w:color="auto"/>
            <w:bottom w:val="none" w:sz="0" w:space="0" w:color="auto"/>
            <w:right w:val="none" w:sz="0" w:space="0" w:color="auto"/>
          </w:divBdr>
        </w:div>
        <w:div w:id="1591691785">
          <w:marLeft w:val="0"/>
          <w:marRight w:val="0"/>
          <w:marTop w:val="0"/>
          <w:marBottom w:val="0"/>
          <w:divBdr>
            <w:top w:val="none" w:sz="0" w:space="0" w:color="auto"/>
            <w:left w:val="none" w:sz="0" w:space="0" w:color="auto"/>
            <w:bottom w:val="none" w:sz="0" w:space="0" w:color="auto"/>
            <w:right w:val="none" w:sz="0" w:space="0" w:color="auto"/>
          </w:divBdr>
        </w:div>
        <w:div w:id="1679503804">
          <w:marLeft w:val="0"/>
          <w:marRight w:val="0"/>
          <w:marTop w:val="0"/>
          <w:marBottom w:val="0"/>
          <w:divBdr>
            <w:top w:val="none" w:sz="0" w:space="0" w:color="auto"/>
            <w:left w:val="none" w:sz="0" w:space="0" w:color="auto"/>
            <w:bottom w:val="none" w:sz="0" w:space="0" w:color="auto"/>
            <w:right w:val="none" w:sz="0" w:space="0" w:color="auto"/>
          </w:divBdr>
        </w:div>
        <w:div w:id="168571254">
          <w:marLeft w:val="0"/>
          <w:marRight w:val="0"/>
          <w:marTop w:val="0"/>
          <w:marBottom w:val="0"/>
          <w:divBdr>
            <w:top w:val="none" w:sz="0" w:space="0" w:color="auto"/>
            <w:left w:val="none" w:sz="0" w:space="0" w:color="auto"/>
            <w:bottom w:val="none" w:sz="0" w:space="0" w:color="auto"/>
            <w:right w:val="none" w:sz="0" w:space="0" w:color="auto"/>
          </w:divBdr>
        </w:div>
        <w:div w:id="150021347">
          <w:marLeft w:val="0"/>
          <w:marRight w:val="0"/>
          <w:marTop w:val="0"/>
          <w:marBottom w:val="0"/>
          <w:divBdr>
            <w:top w:val="none" w:sz="0" w:space="0" w:color="auto"/>
            <w:left w:val="none" w:sz="0" w:space="0" w:color="auto"/>
            <w:bottom w:val="none" w:sz="0" w:space="0" w:color="auto"/>
            <w:right w:val="none" w:sz="0" w:space="0" w:color="auto"/>
          </w:divBdr>
        </w:div>
      </w:divsChild>
    </w:div>
    <w:div w:id="1069961972">
      <w:bodyDiv w:val="1"/>
      <w:marLeft w:val="0"/>
      <w:marRight w:val="0"/>
      <w:marTop w:val="0"/>
      <w:marBottom w:val="0"/>
      <w:divBdr>
        <w:top w:val="none" w:sz="0" w:space="0" w:color="auto"/>
        <w:left w:val="none" w:sz="0" w:space="0" w:color="auto"/>
        <w:bottom w:val="none" w:sz="0" w:space="0" w:color="auto"/>
        <w:right w:val="none" w:sz="0" w:space="0" w:color="auto"/>
      </w:divBdr>
      <w:divsChild>
        <w:div w:id="2094274270">
          <w:marLeft w:val="0"/>
          <w:marRight w:val="0"/>
          <w:marTop w:val="0"/>
          <w:marBottom w:val="0"/>
          <w:divBdr>
            <w:top w:val="none" w:sz="0" w:space="0" w:color="auto"/>
            <w:left w:val="none" w:sz="0" w:space="0" w:color="auto"/>
            <w:bottom w:val="none" w:sz="0" w:space="0" w:color="auto"/>
            <w:right w:val="none" w:sz="0" w:space="0" w:color="auto"/>
          </w:divBdr>
        </w:div>
        <w:div w:id="1287396779">
          <w:marLeft w:val="0"/>
          <w:marRight w:val="0"/>
          <w:marTop w:val="0"/>
          <w:marBottom w:val="0"/>
          <w:divBdr>
            <w:top w:val="none" w:sz="0" w:space="0" w:color="auto"/>
            <w:left w:val="none" w:sz="0" w:space="0" w:color="auto"/>
            <w:bottom w:val="none" w:sz="0" w:space="0" w:color="auto"/>
            <w:right w:val="none" w:sz="0" w:space="0" w:color="auto"/>
          </w:divBdr>
        </w:div>
        <w:div w:id="1135102779">
          <w:marLeft w:val="0"/>
          <w:marRight w:val="0"/>
          <w:marTop w:val="0"/>
          <w:marBottom w:val="0"/>
          <w:divBdr>
            <w:top w:val="none" w:sz="0" w:space="0" w:color="auto"/>
            <w:left w:val="none" w:sz="0" w:space="0" w:color="auto"/>
            <w:bottom w:val="none" w:sz="0" w:space="0" w:color="auto"/>
            <w:right w:val="none" w:sz="0" w:space="0" w:color="auto"/>
          </w:divBdr>
        </w:div>
        <w:div w:id="963972969">
          <w:marLeft w:val="0"/>
          <w:marRight w:val="0"/>
          <w:marTop w:val="0"/>
          <w:marBottom w:val="0"/>
          <w:divBdr>
            <w:top w:val="none" w:sz="0" w:space="0" w:color="auto"/>
            <w:left w:val="none" w:sz="0" w:space="0" w:color="auto"/>
            <w:bottom w:val="none" w:sz="0" w:space="0" w:color="auto"/>
            <w:right w:val="none" w:sz="0" w:space="0" w:color="auto"/>
          </w:divBdr>
        </w:div>
        <w:div w:id="1172986601">
          <w:marLeft w:val="0"/>
          <w:marRight w:val="0"/>
          <w:marTop w:val="0"/>
          <w:marBottom w:val="0"/>
          <w:divBdr>
            <w:top w:val="none" w:sz="0" w:space="0" w:color="auto"/>
            <w:left w:val="none" w:sz="0" w:space="0" w:color="auto"/>
            <w:bottom w:val="none" w:sz="0" w:space="0" w:color="auto"/>
            <w:right w:val="none" w:sz="0" w:space="0" w:color="auto"/>
          </w:divBdr>
        </w:div>
      </w:divsChild>
    </w:div>
    <w:div w:id="1314603377">
      <w:bodyDiv w:val="1"/>
      <w:marLeft w:val="0"/>
      <w:marRight w:val="0"/>
      <w:marTop w:val="0"/>
      <w:marBottom w:val="0"/>
      <w:divBdr>
        <w:top w:val="none" w:sz="0" w:space="0" w:color="auto"/>
        <w:left w:val="none" w:sz="0" w:space="0" w:color="auto"/>
        <w:bottom w:val="none" w:sz="0" w:space="0" w:color="auto"/>
        <w:right w:val="none" w:sz="0" w:space="0" w:color="auto"/>
      </w:divBdr>
    </w:div>
    <w:div w:id="1352875068">
      <w:bodyDiv w:val="1"/>
      <w:marLeft w:val="0"/>
      <w:marRight w:val="0"/>
      <w:marTop w:val="0"/>
      <w:marBottom w:val="0"/>
      <w:divBdr>
        <w:top w:val="none" w:sz="0" w:space="0" w:color="auto"/>
        <w:left w:val="none" w:sz="0" w:space="0" w:color="auto"/>
        <w:bottom w:val="none" w:sz="0" w:space="0" w:color="auto"/>
        <w:right w:val="none" w:sz="0" w:space="0" w:color="auto"/>
      </w:divBdr>
      <w:divsChild>
        <w:div w:id="1082411461">
          <w:marLeft w:val="0"/>
          <w:marRight w:val="0"/>
          <w:marTop w:val="0"/>
          <w:marBottom w:val="0"/>
          <w:divBdr>
            <w:top w:val="none" w:sz="0" w:space="0" w:color="auto"/>
            <w:left w:val="none" w:sz="0" w:space="0" w:color="auto"/>
            <w:bottom w:val="none" w:sz="0" w:space="0" w:color="auto"/>
            <w:right w:val="none" w:sz="0" w:space="0" w:color="auto"/>
          </w:divBdr>
        </w:div>
        <w:div w:id="471100731">
          <w:marLeft w:val="0"/>
          <w:marRight w:val="0"/>
          <w:marTop w:val="0"/>
          <w:marBottom w:val="0"/>
          <w:divBdr>
            <w:top w:val="none" w:sz="0" w:space="0" w:color="auto"/>
            <w:left w:val="none" w:sz="0" w:space="0" w:color="auto"/>
            <w:bottom w:val="none" w:sz="0" w:space="0" w:color="auto"/>
            <w:right w:val="none" w:sz="0" w:space="0" w:color="auto"/>
          </w:divBdr>
        </w:div>
        <w:div w:id="268392851">
          <w:marLeft w:val="0"/>
          <w:marRight w:val="0"/>
          <w:marTop w:val="0"/>
          <w:marBottom w:val="0"/>
          <w:divBdr>
            <w:top w:val="none" w:sz="0" w:space="0" w:color="auto"/>
            <w:left w:val="none" w:sz="0" w:space="0" w:color="auto"/>
            <w:bottom w:val="none" w:sz="0" w:space="0" w:color="auto"/>
            <w:right w:val="none" w:sz="0" w:space="0" w:color="auto"/>
          </w:divBdr>
        </w:div>
        <w:div w:id="33041270">
          <w:marLeft w:val="0"/>
          <w:marRight w:val="0"/>
          <w:marTop w:val="0"/>
          <w:marBottom w:val="0"/>
          <w:divBdr>
            <w:top w:val="none" w:sz="0" w:space="0" w:color="auto"/>
            <w:left w:val="none" w:sz="0" w:space="0" w:color="auto"/>
            <w:bottom w:val="none" w:sz="0" w:space="0" w:color="auto"/>
            <w:right w:val="none" w:sz="0" w:space="0" w:color="auto"/>
          </w:divBdr>
        </w:div>
        <w:div w:id="1399397913">
          <w:marLeft w:val="0"/>
          <w:marRight w:val="0"/>
          <w:marTop w:val="0"/>
          <w:marBottom w:val="0"/>
          <w:divBdr>
            <w:top w:val="none" w:sz="0" w:space="0" w:color="auto"/>
            <w:left w:val="none" w:sz="0" w:space="0" w:color="auto"/>
            <w:bottom w:val="none" w:sz="0" w:space="0" w:color="auto"/>
            <w:right w:val="none" w:sz="0" w:space="0" w:color="auto"/>
          </w:divBdr>
        </w:div>
        <w:div w:id="1058355707">
          <w:marLeft w:val="0"/>
          <w:marRight w:val="0"/>
          <w:marTop w:val="0"/>
          <w:marBottom w:val="0"/>
          <w:divBdr>
            <w:top w:val="none" w:sz="0" w:space="0" w:color="auto"/>
            <w:left w:val="none" w:sz="0" w:space="0" w:color="auto"/>
            <w:bottom w:val="none" w:sz="0" w:space="0" w:color="auto"/>
            <w:right w:val="none" w:sz="0" w:space="0" w:color="auto"/>
          </w:divBdr>
        </w:div>
        <w:div w:id="1930579665">
          <w:marLeft w:val="0"/>
          <w:marRight w:val="0"/>
          <w:marTop w:val="0"/>
          <w:marBottom w:val="0"/>
          <w:divBdr>
            <w:top w:val="none" w:sz="0" w:space="0" w:color="auto"/>
            <w:left w:val="none" w:sz="0" w:space="0" w:color="auto"/>
            <w:bottom w:val="none" w:sz="0" w:space="0" w:color="auto"/>
            <w:right w:val="none" w:sz="0" w:space="0" w:color="auto"/>
          </w:divBdr>
        </w:div>
      </w:divsChild>
    </w:div>
    <w:div w:id="1441300395">
      <w:bodyDiv w:val="1"/>
      <w:marLeft w:val="0"/>
      <w:marRight w:val="0"/>
      <w:marTop w:val="0"/>
      <w:marBottom w:val="0"/>
      <w:divBdr>
        <w:top w:val="none" w:sz="0" w:space="0" w:color="auto"/>
        <w:left w:val="none" w:sz="0" w:space="0" w:color="auto"/>
        <w:bottom w:val="none" w:sz="0" w:space="0" w:color="auto"/>
        <w:right w:val="none" w:sz="0" w:space="0" w:color="auto"/>
      </w:divBdr>
      <w:divsChild>
        <w:div w:id="1635674667">
          <w:marLeft w:val="0"/>
          <w:marRight w:val="0"/>
          <w:marTop w:val="0"/>
          <w:marBottom w:val="0"/>
          <w:divBdr>
            <w:top w:val="none" w:sz="0" w:space="0" w:color="auto"/>
            <w:left w:val="none" w:sz="0" w:space="0" w:color="auto"/>
            <w:bottom w:val="none" w:sz="0" w:space="0" w:color="auto"/>
            <w:right w:val="none" w:sz="0" w:space="0" w:color="auto"/>
          </w:divBdr>
        </w:div>
        <w:div w:id="158886937">
          <w:marLeft w:val="0"/>
          <w:marRight w:val="0"/>
          <w:marTop w:val="0"/>
          <w:marBottom w:val="0"/>
          <w:divBdr>
            <w:top w:val="none" w:sz="0" w:space="0" w:color="auto"/>
            <w:left w:val="none" w:sz="0" w:space="0" w:color="auto"/>
            <w:bottom w:val="none" w:sz="0" w:space="0" w:color="auto"/>
            <w:right w:val="none" w:sz="0" w:space="0" w:color="auto"/>
          </w:divBdr>
        </w:div>
        <w:div w:id="386344520">
          <w:marLeft w:val="0"/>
          <w:marRight w:val="0"/>
          <w:marTop w:val="0"/>
          <w:marBottom w:val="0"/>
          <w:divBdr>
            <w:top w:val="none" w:sz="0" w:space="0" w:color="auto"/>
            <w:left w:val="none" w:sz="0" w:space="0" w:color="auto"/>
            <w:bottom w:val="none" w:sz="0" w:space="0" w:color="auto"/>
            <w:right w:val="none" w:sz="0" w:space="0" w:color="auto"/>
          </w:divBdr>
        </w:div>
        <w:div w:id="620572267">
          <w:marLeft w:val="0"/>
          <w:marRight w:val="0"/>
          <w:marTop w:val="0"/>
          <w:marBottom w:val="0"/>
          <w:divBdr>
            <w:top w:val="none" w:sz="0" w:space="0" w:color="auto"/>
            <w:left w:val="none" w:sz="0" w:space="0" w:color="auto"/>
            <w:bottom w:val="none" w:sz="0" w:space="0" w:color="auto"/>
            <w:right w:val="none" w:sz="0" w:space="0" w:color="auto"/>
          </w:divBdr>
        </w:div>
      </w:divsChild>
    </w:div>
    <w:div w:id="1475219751">
      <w:bodyDiv w:val="1"/>
      <w:marLeft w:val="0"/>
      <w:marRight w:val="0"/>
      <w:marTop w:val="0"/>
      <w:marBottom w:val="0"/>
      <w:divBdr>
        <w:top w:val="none" w:sz="0" w:space="0" w:color="auto"/>
        <w:left w:val="none" w:sz="0" w:space="0" w:color="auto"/>
        <w:bottom w:val="none" w:sz="0" w:space="0" w:color="auto"/>
        <w:right w:val="none" w:sz="0" w:space="0" w:color="auto"/>
      </w:divBdr>
      <w:divsChild>
        <w:div w:id="1472362677">
          <w:marLeft w:val="0"/>
          <w:marRight w:val="0"/>
          <w:marTop w:val="0"/>
          <w:marBottom w:val="0"/>
          <w:divBdr>
            <w:top w:val="none" w:sz="0" w:space="0" w:color="auto"/>
            <w:left w:val="none" w:sz="0" w:space="0" w:color="auto"/>
            <w:bottom w:val="none" w:sz="0" w:space="0" w:color="auto"/>
            <w:right w:val="none" w:sz="0" w:space="0" w:color="auto"/>
          </w:divBdr>
        </w:div>
        <w:div w:id="1850871197">
          <w:marLeft w:val="0"/>
          <w:marRight w:val="0"/>
          <w:marTop w:val="0"/>
          <w:marBottom w:val="0"/>
          <w:divBdr>
            <w:top w:val="none" w:sz="0" w:space="0" w:color="auto"/>
            <w:left w:val="none" w:sz="0" w:space="0" w:color="auto"/>
            <w:bottom w:val="none" w:sz="0" w:space="0" w:color="auto"/>
            <w:right w:val="none" w:sz="0" w:space="0" w:color="auto"/>
          </w:divBdr>
        </w:div>
      </w:divsChild>
    </w:div>
    <w:div w:id="1628849999">
      <w:bodyDiv w:val="1"/>
      <w:marLeft w:val="0"/>
      <w:marRight w:val="0"/>
      <w:marTop w:val="0"/>
      <w:marBottom w:val="0"/>
      <w:divBdr>
        <w:top w:val="none" w:sz="0" w:space="0" w:color="auto"/>
        <w:left w:val="none" w:sz="0" w:space="0" w:color="auto"/>
        <w:bottom w:val="none" w:sz="0" w:space="0" w:color="auto"/>
        <w:right w:val="none" w:sz="0" w:space="0" w:color="auto"/>
      </w:divBdr>
    </w:div>
    <w:div w:id="1769347317">
      <w:bodyDiv w:val="1"/>
      <w:marLeft w:val="0"/>
      <w:marRight w:val="0"/>
      <w:marTop w:val="0"/>
      <w:marBottom w:val="0"/>
      <w:divBdr>
        <w:top w:val="none" w:sz="0" w:space="0" w:color="auto"/>
        <w:left w:val="none" w:sz="0" w:space="0" w:color="auto"/>
        <w:bottom w:val="none" w:sz="0" w:space="0" w:color="auto"/>
        <w:right w:val="none" w:sz="0" w:space="0" w:color="auto"/>
      </w:divBdr>
    </w:div>
    <w:div w:id="1825773704">
      <w:bodyDiv w:val="1"/>
      <w:marLeft w:val="0"/>
      <w:marRight w:val="0"/>
      <w:marTop w:val="0"/>
      <w:marBottom w:val="0"/>
      <w:divBdr>
        <w:top w:val="none" w:sz="0" w:space="0" w:color="auto"/>
        <w:left w:val="none" w:sz="0" w:space="0" w:color="auto"/>
        <w:bottom w:val="none" w:sz="0" w:space="0" w:color="auto"/>
        <w:right w:val="none" w:sz="0" w:space="0" w:color="auto"/>
      </w:divBdr>
      <w:divsChild>
        <w:div w:id="2066180683">
          <w:marLeft w:val="0"/>
          <w:marRight w:val="0"/>
          <w:marTop w:val="0"/>
          <w:marBottom w:val="0"/>
          <w:divBdr>
            <w:top w:val="none" w:sz="0" w:space="0" w:color="auto"/>
            <w:left w:val="none" w:sz="0" w:space="0" w:color="auto"/>
            <w:bottom w:val="none" w:sz="0" w:space="0" w:color="auto"/>
            <w:right w:val="none" w:sz="0" w:space="0" w:color="auto"/>
          </w:divBdr>
        </w:div>
        <w:div w:id="1741246931">
          <w:marLeft w:val="0"/>
          <w:marRight w:val="0"/>
          <w:marTop w:val="0"/>
          <w:marBottom w:val="0"/>
          <w:divBdr>
            <w:top w:val="none" w:sz="0" w:space="0" w:color="auto"/>
            <w:left w:val="none" w:sz="0" w:space="0" w:color="auto"/>
            <w:bottom w:val="none" w:sz="0" w:space="0" w:color="auto"/>
            <w:right w:val="none" w:sz="0" w:space="0" w:color="auto"/>
          </w:divBdr>
        </w:div>
        <w:div w:id="480391891">
          <w:marLeft w:val="0"/>
          <w:marRight w:val="0"/>
          <w:marTop w:val="0"/>
          <w:marBottom w:val="0"/>
          <w:divBdr>
            <w:top w:val="none" w:sz="0" w:space="0" w:color="auto"/>
            <w:left w:val="none" w:sz="0" w:space="0" w:color="auto"/>
            <w:bottom w:val="none" w:sz="0" w:space="0" w:color="auto"/>
            <w:right w:val="none" w:sz="0" w:space="0" w:color="auto"/>
          </w:divBdr>
        </w:div>
        <w:div w:id="1877114688">
          <w:marLeft w:val="0"/>
          <w:marRight w:val="0"/>
          <w:marTop w:val="0"/>
          <w:marBottom w:val="0"/>
          <w:divBdr>
            <w:top w:val="none" w:sz="0" w:space="0" w:color="auto"/>
            <w:left w:val="none" w:sz="0" w:space="0" w:color="auto"/>
            <w:bottom w:val="none" w:sz="0" w:space="0" w:color="auto"/>
            <w:right w:val="none" w:sz="0" w:space="0" w:color="auto"/>
          </w:divBdr>
        </w:div>
        <w:div w:id="1534414348">
          <w:marLeft w:val="0"/>
          <w:marRight w:val="0"/>
          <w:marTop w:val="0"/>
          <w:marBottom w:val="0"/>
          <w:divBdr>
            <w:top w:val="none" w:sz="0" w:space="0" w:color="auto"/>
            <w:left w:val="none" w:sz="0" w:space="0" w:color="auto"/>
            <w:bottom w:val="none" w:sz="0" w:space="0" w:color="auto"/>
            <w:right w:val="none" w:sz="0" w:space="0" w:color="auto"/>
          </w:divBdr>
        </w:div>
        <w:div w:id="1163859604">
          <w:marLeft w:val="0"/>
          <w:marRight w:val="0"/>
          <w:marTop w:val="0"/>
          <w:marBottom w:val="0"/>
          <w:divBdr>
            <w:top w:val="none" w:sz="0" w:space="0" w:color="auto"/>
            <w:left w:val="none" w:sz="0" w:space="0" w:color="auto"/>
            <w:bottom w:val="none" w:sz="0" w:space="0" w:color="auto"/>
            <w:right w:val="none" w:sz="0" w:space="0" w:color="auto"/>
          </w:divBdr>
        </w:div>
        <w:div w:id="1245384045">
          <w:marLeft w:val="0"/>
          <w:marRight w:val="0"/>
          <w:marTop w:val="0"/>
          <w:marBottom w:val="0"/>
          <w:divBdr>
            <w:top w:val="none" w:sz="0" w:space="0" w:color="auto"/>
            <w:left w:val="none" w:sz="0" w:space="0" w:color="auto"/>
            <w:bottom w:val="none" w:sz="0" w:space="0" w:color="auto"/>
            <w:right w:val="none" w:sz="0" w:space="0" w:color="auto"/>
          </w:divBdr>
        </w:div>
        <w:div w:id="316541067">
          <w:marLeft w:val="0"/>
          <w:marRight w:val="0"/>
          <w:marTop w:val="0"/>
          <w:marBottom w:val="0"/>
          <w:divBdr>
            <w:top w:val="none" w:sz="0" w:space="0" w:color="auto"/>
            <w:left w:val="none" w:sz="0" w:space="0" w:color="auto"/>
            <w:bottom w:val="none" w:sz="0" w:space="0" w:color="auto"/>
            <w:right w:val="none" w:sz="0" w:space="0" w:color="auto"/>
          </w:divBdr>
        </w:div>
        <w:div w:id="1375349543">
          <w:marLeft w:val="0"/>
          <w:marRight w:val="0"/>
          <w:marTop w:val="0"/>
          <w:marBottom w:val="0"/>
          <w:divBdr>
            <w:top w:val="none" w:sz="0" w:space="0" w:color="auto"/>
            <w:left w:val="none" w:sz="0" w:space="0" w:color="auto"/>
            <w:bottom w:val="none" w:sz="0" w:space="0" w:color="auto"/>
            <w:right w:val="none" w:sz="0" w:space="0" w:color="auto"/>
          </w:divBdr>
        </w:div>
        <w:div w:id="476147183">
          <w:marLeft w:val="0"/>
          <w:marRight w:val="0"/>
          <w:marTop w:val="0"/>
          <w:marBottom w:val="0"/>
          <w:divBdr>
            <w:top w:val="none" w:sz="0" w:space="0" w:color="auto"/>
            <w:left w:val="none" w:sz="0" w:space="0" w:color="auto"/>
            <w:bottom w:val="none" w:sz="0" w:space="0" w:color="auto"/>
            <w:right w:val="none" w:sz="0" w:space="0" w:color="auto"/>
          </w:divBdr>
        </w:div>
        <w:div w:id="139923863">
          <w:marLeft w:val="0"/>
          <w:marRight w:val="0"/>
          <w:marTop w:val="0"/>
          <w:marBottom w:val="0"/>
          <w:divBdr>
            <w:top w:val="none" w:sz="0" w:space="0" w:color="auto"/>
            <w:left w:val="none" w:sz="0" w:space="0" w:color="auto"/>
            <w:bottom w:val="none" w:sz="0" w:space="0" w:color="auto"/>
            <w:right w:val="none" w:sz="0" w:space="0" w:color="auto"/>
          </w:divBdr>
        </w:div>
        <w:div w:id="1314718310">
          <w:marLeft w:val="0"/>
          <w:marRight w:val="0"/>
          <w:marTop w:val="0"/>
          <w:marBottom w:val="0"/>
          <w:divBdr>
            <w:top w:val="none" w:sz="0" w:space="0" w:color="auto"/>
            <w:left w:val="none" w:sz="0" w:space="0" w:color="auto"/>
            <w:bottom w:val="none" w:sz="0" w:space="0" w:color="auto"/>
            <w:right w:val="none" w:sz="0" w:space="0" w:color="auto"/>
          </w:divBdr>
        </w:div>
        <w:div w:id="418871064">
          <w:marLeft w:val="0"/>
          <w:marRight w:val="0"/>
          <w:marTop w:val="0"/>
          <w:marBottom w:val="0"/>
          <w:divBdr>
            <w:top w:val="none" w:sz="0" w:space="0" w:color="auto"/>
            <w:left w:val="none" w:sz="0" w:space="0" w:color="auto"/>
            <w:bottom w:val="none" w:sz="0" w:space="0" w:color="auto"/>
            <w:right w:val="none" w:sz="0" w:space="0" w:color="auto"/>
          </w:divBdr>
        </w:div>
        <w:div w:id="1822303662">
          <w:marLeft w:val="0"/>
          <w:marRight w:val="0"/>
          <w:marTop w:val="0"/>
          <w:marBottom w:val="0"/>
          <w:divBdr>
            <w:top w:val="none" w:sz="0" w:space="0" w:color="auto"/>
            <w:left w:val="none" w:sz="0" w:space="0" w:color="auto"/>
            <w:bottom w:val="none" w:sz="0" w:space="0" w:color="auto"/>
            <w:right w:val="none" w:sz="0" w:space="0" w:color="auto"/>
          </w:divBdr>
        </w:div>
        <w:div w:id="454643663">
          <w:marLeft w:val="0"/>
          <w:marRight w:val="0"/>
          <w:marTop w:val="0"/>
          <w:marBottom w:val="0"/>
          <w:divBdr>
            <w:top w:val="none" w:sz="0" w:space="0" w:color="auto"/>
            <w:left w:val="none" w:sz="0" w:space="0" w:color="auto"/>
            <w:bottom w:val="none" w:sz="0" w:space="0" w:color="auto"/>
            <w:right w:val="none" w:sz="0" w:space="0" w:color="auto"/>
          </w:divBdr>
        </w:div>
        <w:div w:id="1740203295">
          <w:marLeft w:val="0"/>
          <w:marRight w:val="0"/>
          <w:marTop w:val="0"/>
          <w:marBottom w:val="0"/>
          <w:divBdr>
            <w:top w:val="none" w:sz="0" w:space="0" w:color="auto"/>
            <w:left w:val="none" w:sz="0" w:space="0" w:color="auto"/>
            <w:bottom w:val="none" w:sz="0" w:space="0" w:color="auto"/>
            <w:right w:val="none" w:sz="0" w:space="0" w:color="auto"/>
          </w:divBdr>
        </w:div>
        <w:div w:id="54671087">
          <w:marLeft w:val="0"/>
          <w:marRight w:val="0"/>
          <w:marTop w:val="0"/>
          <w:marBottom w:val="0"/>
          <w:divBdr>
            <w:top w:val="none" w:sz="0" w:space="0" w:color="auto"/>
            <w:left w:val="none" w:sz="0" w:space="0" w:color="auto"/>
            <w:bottom w:val="none" w:sz="0" w:space="0" w:color="auto"/>
            <w:right w:val="none" w:sz="0" w:space="0" w:color="auto"/>
          </w:divBdr>
        </w:div>
        <w:div w:id="268585004">
          <w:marLeft w:val="0"/>
          <w:marRight w:val="0"/>
          <w:marTop w:val="0"/>
          <w:marBottom w:val="0"/>
          <w:divBdr>
            <w:top w:val="none" w:sz="0" w:space="0" w:color="auto"/>
            <w:left w:val="none" w:sz="0" w:space="0" w:color="auto"/>
            <w:bottom w:val="none" w:sz="0" w:space="0" w:color="auto"/>
            <w:right w:val="none" w:sz="0" w:space="0" w:color="auto"/>
          </w:divBdr>
        </w:div>
        <w:div w:id="1625387025">
          <w:marLeft w:val="0"/>
          <w:marRight w:val="0"/>
          <w:marTop w:val="0"/>
          <w:marBottom w:val="0"/>
          <w:divBdr>
            <w:top w:val="none" w:sz="0" w:space="0" w:color="auto"/>
            <w:left w:val="none" w:sz="0" w:space="0" w:color="auto"/>
            <w:bottom w:val="none" w:sz="0" w:space="0" w:color="auto"/>
            <w:right w:val="none" w:sz="0" w:space="0" w:color="auto"/>
          </w:divBdr>
        </w:div>
        <w:div w:id="1876431413">
          <w:marLeft w:val="0"/>
          <w:marRight w:val="0"/>
          <w:marTop w:val="0"/>
          <w:marBottom w:val="0"/>
          <w:divBdr>
            <w:top w:val="none" w:sz="0" w:space="0" w:color="auto"/>
            <w:left w:val="none" w:sz="0" w:space="0" w:color="auto"/>
            <w:bottom w:val="none" w:sz="0" w:space="0" w:color="auto"/>
            <w:right w:val="none" w:sz="0" w:space="0" w:color="auto"/>
          </w:divBdr>
        </w:div>
        <w:div w:id="297418037">
          <w:marLeft w:val="0"/>
          <w:marRight w:val="0"/>
          <w:marTop w:val="0"/>
          <w:marBottom w:val="0"/>
          <w:divBdr>
            <w:top w:val="none" w:sz="0" w:space="0" w:color="auto"/>
            <w:left w:val="none" w:sz="0" w:space="0" w:color="auto"/>
            <w:bottom w:val="none" w:sz="0" w:space="0" w:color="auto"/>
            <w:right w:val="none" w:sz="0" w:space="0" w:color="auto"/>
          </w:divBdr>
        </w:div>
        <w:div w:id="577793323">
          <w:marLeft w:val="0"/>
          <w:marRight w:val="0"/>
          <w:marTop w:val="0"/>
          <w:marBottom w:val="0"/>
          <w:divBdr>
            <w:top w:val="none" w:sz="0" w:space="0" w:color="auto"/>
            <w:left w:val="none" w:sz="0" w:space="0" w:color="auto"/>
            <w:bottom w:val="none" w:sz="0" w:space="0" w:color="auto"/>
            <w:right w:val="none" w:sz="0" w:space="0" w:color="auto"/>
          </w:divBdr>
        </w:div>
        <w:div w:id="1138062408">
          <w:marLeft w:val="0"/>
          <w:marRight w:val="0"/>
          <w:marTop w:val="0"/>
          <w:marBottom w:val="0"/>
          <w:divBdr>
            <w:top w:val="none" w:sz="0" w:space="0" w:color="auto"/>
            <w:left w:val="none" w:sz="0" w:space="0" w:color="auto"/>
            <w:bottom w:val="none" w:sz="0" w:space="0" w:color="auto"/>
            <w:right w:val="none" w:sz="0" w:space="0" w:color="auto"/>
          </w:divBdr>
        </w:div>
        <w:div w:id="588999743">
          <w:marLeft w:val="0"/>
          <w:marRight w:val="0"/>
          <w:marTop w:val="0"/>
          <w:marBottom w:val="0"/>
          <w:divBdr>
            <w:top w:val="none" w:sz="0" w:space="0" w:color="auto"/>
            <w:left w:val="none" w:sz="0" w:space="0" w:color="auto"/>
            <w:bottom w:val="none" w:sz="0" w:space="0" w:color="auto"/>
            <w:right w:val="none" w:sz="0" w:space="0" w:color="auto"/>
          </w:divBdr>
        </w:div>
        <w:div w:id="1362778595">
          <w:marLeft w:val="0"/>
          <w:marRight w:val="0"/>
          <w:marTop w:val="0"/>
          <w:marBottom w:val="0"/>
          <w:divBdr>
            <w:top w:val="none" w:sz="0" w:space="0" w:color="auto"/>
            <w:left w:val="none" w:sz="0" w:space="0" w:color="auto"/>
            <w:bottom w:val="none" w:sz="0" w:space="0" w:color="auto"/>
            <w:right w:val="none" w:sz="0" w:space="0" w:color="auto"/>
          </w:divBdr>
        </w:div>
        <w:div w:id="1856574345">
          <w:marLeft w:val="0"/>
          <w:marRight w:val="0"/>
          <w:marTop w:val="0"/>
          <w:marBottom w:val="0"/>
          <w:divBdr>
            <w:top w:val="none" w:sz="0" w:space="0" w:color="auto"/>
            <w:left w:val="none" w:sz="0" w:space="0" w:color="auto"/>
            <w:bottom w:val="none" w:sz="0" w:space="0" w:color="auto"/>
            <w:right w:val="none" w:sz="0" w:space="0" w:color="auto"/>
          </w:divBdr>
        </w:div>
        <w:div w:id="1917205990">
          <w:marLeft w:val="0"/>
          <w:marRight w:val="0"/>
          <w:marTop w:val="0"/>
          <w:marBottom w:val="0"/>
          <w:divBdr>
            <w:top w:val="none" w:sz="0" w:space="0" w:color="auto"/>
            <w:left w:val="none" w:sz="0" w:space="0" w:color="auto"/>
            <w:bottom w:val="none" w:sz="0" w:space="0" w:color="auto"/>
            <w:right w:val="none" w:sz="0" w:space="0" w:color="auto"/>
          </w:divBdr>
        </w:div>
        <w:div w:id="671378591">
          <w:marLeft w:val="0"/>
          <w:marRight w:val="0"/>
          <w:marTop w:val="0"/>
          <w:marBottom w:val="0"/>
          <w:divBdr>
            <w:top w:val="none" w:sz="0" w:space="0" w:color="auto"/>
            <w:left w:val="none" w:sz="0" w:space="0" w:color="auto"/>
            <w:bottom w:val="none" w:sz="0" w:space="0" w:color="auto"/>
            <w:right w:val="none" w:sz="0" w:space="0" w:color="auto"/>
          </w:divBdr>
        </w:div>
        <w:div w:id="920677470">
          <w:marLeft w:val="0"/>
          <w:marRight w:val="0"/>
          <w:marTop w:val="0"/>
          <w:marBottom w:val="0"/>
          <w:divBdr>
            <w:top w:val="none" w:sz="0" w:space="0" w:color="auto"/>
            <w:left w:val="none" w:sz="0" w:space="0" w:color="auto"/>
            <w:bottom w:val="none" w:sz="0" w:space="0" w:color="auto"/>
            <w:right w:val="none" w:sz="0" w:space="0" w:color="auto"/>
          </w:divBdr>
        </w:div>
        <w:div w:id="1807896530">
          <w:marLeft w:val="0"/>
          <w:marRight w:val="0"/>
          <w:marTop w:val="0"/>
          <w:marBottom w:val="0"/>
          <w:divBdr>
            <w:top w:val="none" w:sz="0" w:space="0" w:color="auto"/>
            <w:left w:val="none" w:sz="0" w:space="0" w:color="auto"/>
            <w:bottom w:val="none" w:sz="0" w:space="0" w:color="auto"/>
            <w:right w:val="none" w:sz="0" w:space="0" w:color="auto"/>
          </w:divBdr>
        </w:div>
        <w:div w:id="1406954293">
          <w:marLeft w:val="0"/>
          <w:marRight w:val="0"/>
          <w:marTop w:val="0"/>
          <w:marBottom w:val="0"/>
          <w:divBdr>
            <w:top w:val="none" w:sz="0" w:space="0" w:color="auto"/>
            <w:left w:val="none" w:sz="0" w:space="0" w:color="auto"/>
            <w:bottom w:val="none" w:sz="0" w:space="0" w:color="auto"/>
            <w:right w:val="none" w:sz="0" w:space="0" w:color="auto"/>
          </w:divBdr>
        </w:div>
        <w:div w:id="1946889707">
          <w:marLeft w:val="0"/>
          <w:marRight w:val="0"/>
          <w:marTop w:val="0"/>
          <w:marBottom w:val="0"/>
          <w:divBdr>
            <w:top w:val="none" w:sz="0" w:space="0" w:color="auto"/>
            <w:left w:val="none" w:sz="0" w:space="0" w:color="auto"/>
            <w:bottom w:val="none" w:sz="0" w:space="0" w:color="auto"/>
            <w:right w:val="none" w:sz="0" w:space="0" w:color="auto"/>
          </w:divBdr>
        </w:div>
        <w:div w:id="428043648">
          <w:marLeft w:val="0"/>
          <w:marRight w:val="0"/>
          <w:marTop w:val="0"/>
          <w:marBottom w:val="0"/>
          <w:divBdr>
            <w:top w:val="none" w:sz="0" w:space="0" w:color="auto"/>
            <w:left w:val="none" w:sz="0" w:space="0" w:color="auto"/>
            <w:bottom w:val="none" w:sz="0" w:space="0" w:color="auto"/>
            <w:right w:val="none" w:sz="0" w:space="0" w:color="auto"/>
          </w:divBdr>
        </w:div>
        <w:div w:id="1845123059">
          <w:marLeft w:val="0"/>
          <w:marRight w:val="0"/>
          <w:marTop w:val="0"/>
          <w:marBottom w:val="0"/>
          <w:divBdr>
            <w:top w:val="none" w:sz="0" w:space="0" w:color="auto"/>
            <w:left w:val="none" w:sz="0" w:space="0" w:color="auto"/>
            <w:bottom w:val="none" w:sz="0" w:space="0" w:color="auto"/>
            <w:right w:val="none" w:sz="0" w:space="0" w:color="auto"/>
          </w:divBdr>
        </w:div>
        <w:div w:id="573709115">
          <w:marLeft w:val="0"/>
          <w:marRight w:val="0"/>
          <w:marTop w:val="0"/>
          <w:marBottom w:val="0"/>
          <w:divBdr>
            <w:top w:val="none" w:sz="0" w:space="0" w:color="auto"/>
            <w:left w:val="none" w:sz="0" w:space="0" w:color="auto"/>
            <w:bottom w:val="none" w:sz="0" w:space="0" w:color="auto"/>
            <w:right w:val="none" w:sz="0" w:space="0" w:color="auto"/>
          </w:divBdr>
        </w:div>
        <w:div w:id="961418226">
          <w:marLeft w:val="0"/>
          <w:marRight w:val="0"/>
          <w:marTop w:val="0"/>
          <w:marBottom w:val="0"/>
          <w:divBdr>
            <w:top w:val="none" w:sz="0" w:space="0" w:color="auto"/>
            <w:left w:val="none" w:sz="0" w:space="0" w:color="auto"/>
            <w:bottom w:val="none" w:sz="0" w:space="0" w:color="auto"/>
            <w:right w:val="none" w:sz="0" w:space="0" w:color="auto"/>
          </w:divBdr>
        </w:div>
        <w:div w:id="991720090">
          <w:marLeft w:val="0"/>
          <w:marRight w:val="0"/>
          <w:marTop w:val="0"/>
          <w:marBottom w:val="0"/>
          <w:divBdr>
            <w:top w:val="none" w:sz="0" w:space="0" w:color="auto"/>
            <w:left w:val="none" w:sz="0" w:space="0" w:color="auto"/>
            <w:bottom w:val="none" w:sz="0" w:space="0" w:color="auto"/>
            <w:right w:val="none" w:sz="0" w:space="0" w:color="auto"/>
          </w:divBdr>
        </w:div>
        <w:div w:id="552738209">
          <w:marLeft w:val="0"/>
          <w:marRight w:val="0"/>
          <w:marTop w:val="0"/>
          <w:marBottom w:val="0"/>
          <w:divBdr>
            <w:top w:val="none" w:sz="0" w:space="0" w:color="auto"/>
            <w:left w:val="none" w:sz="0" w:space="0" w:color="auto"/>
            <w:bottom w:val="none" w:sz="0" w:space="0" w:color="auto"/>
            <w:right w:val="none" w:sz="0" w:space="0" w:color="auto"/>
          </w:divBdr>
        </w:div>
        <w:div w:id="1203325853">
          <w:marLeft w:val="0"/>
          <w:marRight w:val="0"/>
          <w:marTop w:val="0"/>
          <w:marBottom w:val="0"/>
          <w:divBdr>
            <w:top w:val="none" w:sz="0" w:space="0" w:color="auto"/>
            <w:left w:val="none" w:sz="0" w:space="0" w:color="auto"/>
            <w:bottom w:val="none" w:sz="0" w:space="0" w:color="auto"/>
            <w:right w:val="none" w:sz="0" w:space="0" w:color="auto"/>
          </w:divBdr>
        </w:div>
      </w:divsChild>
    </w:div>
    <w:div w:id="1927379513">
      <w:bodyDiv w:val="1"/>
      <w:marLeft w:val="0"/>
      <w:marRight w:val="0"/>
      <w:marTop w:val="0"/>
      <w:marBottom w:val="0"/>
      <w:divBdr>
        <w:top w:val="none" w:sz="0" w:space="0" w:color="auto"/>
        <w:left w:val="none" w:sz="0" w:space="0" w:color="auto"/>
        <w:bottom w:val="none" w:sz="0" w:space="0" w:color="auto"/>
        <w:right w:val="none" w:sz="0" w:space="0" w:color="auto"/>
      </w:divBdr>
      <w:divsChild>
        <w:div w:id="294991258">
          <w:marLeft w:val="0"/>
          <w:marRight w:val="0"/>
          <w:marTop w:val="0"/>
          <w:marBottom w:val="0"/>
          <w:divBdr>
            <w:top w:val="none" w:sz="0" w:space="0" w:color="auto"/>
            <w:left w:val="none" w:sz="0" w:space="0" w:color="auto"/>
            <w:bottom w:val="none" w:sz="0" w:space="0" w:color="auto"/>
            <w:right w:val="none" w:sz="0" w:space="0" w:color="auto"/>
          </w:divBdr>
        </w:div>
        <w:div w:id="1644852838">
          <w:marLeft w:val="0"/>
          <w:marRight w:val="0"/>
          <w:marTop w:val="0"/>
          <w:marBottom w:val="0"/>
          <w:divBdr>
            <w:top w:val="none" w:sz="0" w:space="0" w:color="auto"/>
            <w:left w:val="none" w:sz="0" w:space="0" w:color="auto"/>
            <w:bottom w:val="none" w:sz="0" w:space="0" w:color="auto"/>
            <w:right w:val="none" w:sz="0" w:space="0" w:color="auto"/>
          </w:divBdr>
        </w:div>
        <w:div w:id="1438869276">
          <w:marLeft w:val="0"/>
          <w:marRight w:val="0"/>
          <w:marTop w:val="0"/>
          <w:marBottom w:val="0"/>
          <w:divBdr>
            <w:top w:val="none" w:sz="0" w:space="0" w:color="auto"/>
            <w:left w:val="none" w:sz="0" w:space="0" w:color="auto"/>
            <w:bottom w:val="none" w:sz="0" w:space="0" w:color="auto"/>
            <w:right w:val="none" w:sz="0" w:space="0" w:color="auto"/>
          </w:divBdr>
        </w:div>
        <w:div w:id="1439105936">
          <w:marLeft w:val="0"/>
          <w:marRight w:val="0"/>
          <w:marTop w:val="0"/>
          <w:marBottom w:val="0"/>
          <w:divBdr>
            <w:top w:val="none" w:sz="0" w:space="0" w:color="auto"/>
            <w:left w:val="none" w:sz="0" w:space="0" w:color="auto"/>
            <w:bottom w:val="none" w:sz="0" w:space="0" w:color="auto"/>
            <w:right w:val="none" w:sz="0" w:space="0" w:color="auto"/>
          </w:divBdr>
        </w:div>
        <w:div w:id="834879670">
          <w:marLeft w:val="0"/>
          <w:marRight w:val="0"/>
          <w:marTop w:val="0"/>
          <w:marBottom w:val="0"/>
          <w:divBdr>
            <w:top w:val="none" w:sz="0" w:space="0" w:color="auto"/>
            <w:left w:val="none" w:sz="0" w:space="0" w:color="auto"/>
            <w:bottom w:val="none" w:sz="0" w:space="0" w:color="auto"/>
            <w:right w:val="none" w:sz="0" w:space="0" w:color="auto"/>
          </w:divBdr>
        </w:div>
        <w:div w:id="527837437">
          <w:marLeft w:val="0"/>
          <w:marRight w:val="0"/>
          <w:marTop w:val="0"/>
          <w:marBottom w:val="0"/>
          <w:divBdr>
            <w:top w:val="none" w:sz="0" w:space="0" w:color="auto"/>
            <w:left w:val="none" w:sz="0" w:space="0" w:color="auto"/>
            <w:bottom w:val="none" w:sz="0" w:space="0" w:color="auto"/>
            <w:right w:val="none" w:sz="0" w:space="0" w:color="auto"/>
          </w:divBdr>
        </w:div>
        <w:div w:id="368577226">
          <w:marLeft w:val="0"/>
          <w:marRight w:val="0"/>
          <w:marTop w:val="0"/>
          <w:marBottom w:val="0"/>
          <w:divBdr>
            <w:top w:val="none" w:sz="0" w:space="0" w:color="auto"/>
            <w:left w:val="none" w:sz="0" w:space="0" w:color="auto"/>
            <w:bottom w:val="none" w:sz="0" w:space="0" w:color="auto"/>
            <w:right w:val="none" w:sz="0" w:space="0" w:color="auto"/>
          </w:divBdr>
        </w:div>
        <w:div w:id="1669627425">
          <w:marLeft w:val="0"/>
          <w:marRight w:val="0"/>
          <w:marTop w:val="0"/>
          <w:marBottom w:val="0"/>
          <w:divBdr>
            <w:top w:val="none" w:sz="0" w:space="0" w:color="auto"/>
            <w:left w:val="none" w:sz="0" w:space="0" w:color="auto"/>
            <w:bottom w:val="none" w:sz="0" w:space="0" w:color="auto"/>
            <w:right w:val="none" w:sz="0" w:space="0" w:color="auto"/>
          </w:divBdr>
        </w:div>
        <w:div w:id="1628315706">
          <w:marLeft w:val="0"/>
          <w:marRight w:val="0"/>
          <w:marTop w:val="0"/>
          <w:marBottom w:val="0"/>
          <w:divBdr>
            <w:top w:val="none" w:sz="0" w:space="0" w:color="auto"/>
            <w:left w:val="none" w:sz="0" w:space="0" w:color="auto"/>
            <w:bottom w:val="none" w:sz="0" w:space="0" w:color="auto"/>
            <w:right w:val="none" w:sz="0" w:space="0" w:color="auto"/>
          </w:divBdr>
        </w:div>
        <w:div w:id="1490906861">
          <w:marLeft w:val="0"/>
          <w:marRight w:val="0"/>
          <w:marTop w:val="0"/>
          <w:marBottom w:val="0"/>
          <w:divBdr>
            <w:top w:val="none" w:sz="0" w:space="0" w:color="auto"/>
            <w:left w:val="none" w:sz="0" w:space="0" w:color="auto"/>
            <w:bottom w:val="none" w:sz="0" w:space="0" w:color="auto"/>
            <w:right w:val="none" w:sz="0" w:space="0" w:color="auto"/>
          </w:divBdr>
        </w:div>
        <w:div w:id="756244693">
          <w:marLeft w:val="0"/>
          <w:marRight w:val="0"/>
          <w:marTop w:val="0"/>
          <w:marBottom w:val="0"/>
          <w:divBdr>
            <w:top w:val="none" w:sz="0" w:space="0" w:color="auto"/>
            <w:left w:val="none" w:sz="0" w:space="0" w:color="auto"/>
            <w:bottom w:val="none" w:sz="0" w:space="0" w:color="auto"/>
            <w:right w:val="none" w:sz="0" w:space="0" w:color="auto"/>
          </w:divBdr>
        </w:div>
        <w:div w:id="1957911095">
          <w:marLeft w:val="0"/>
          <w:marRight w:val="0"/>
          <w:marTop w:val="0"/>
          <w:marBottom w:val="0"/>
          <w:divBdr>
            <w:top w:val="none" w:sz="0" w:space="0" w:color="auto"/>
            <w:left w:val="none" w:sz="0" w:space="0" w:color="auto"/>
            <w:bottom w:val="none" w:sz="0" w:space="0" w:color="auto"/>
            <w:right w:val="none" w:sz="0" w:space="0" w:color="auto"/>
          </w:divBdr>
        </w:div>
        <w:div w:id="46270167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bristol.gov.uk/statistics-census-information/new-wards-data-profiles" TargetMode="Externa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404917795BB8249B2AC3A1D36799D80" ma:contentTypeVersion="20" ma:contentTypeDescription="Create a new document." ma:contentTypeScope="" ma:versionID="7ba96ca2b402178f1841cd13f5366850">
  <xsd:schema xmlns:xsd="http://www.w3.org/2001/XMLSchema" xmlns:xs="http://www.w3.org/2001/XMLSchema" xmlns:p="http://schemas.microsoft.com/office/2006/metadata/properties" xmlns:ns2="9a1fa848-2d3d-40a8-bd28-42c24cfe87d2" xmlns:ns3="bd917893-422c-47eb-978c-511aba5914b5" targetNamespace="http://schemas.microsoft.com/office/2006/metadata/properties" ma:root="true" ma:fieldsID="3c897c076f6948289c341960a403cee6" ns2:_="" ns3:_="">
    <xsd:import namespace="9a1fa848-2d3d-40a8-bd28-42c24cfe87d2"/>
    <xsd:import namespace="bd917893-422c-47eb-978c-511aba5914b5"/>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DateTaken" minOccurs="0"/>
                <xsd:element ref="ns3:MediaLengthInSeconds"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2:SharedWithUsers" minOccurs="0"/>
                <xsd:element ref="ns2:SharedWithDetails" minOccurs="0"/>
                <xsd:element ref="ns3:lcf76f155ced4ddcb4097134ff3c332f" minOccurs="0"/>
                <xsd:element ref="ns2:TaxCatchAll" minOccurs="0"/>
                <xsd:element ref="ns3:MediaServiceLocation"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a1fa848-2d3d-40a8-bd28-42c24cfe87d2"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5993e0a5-7636-4e91-be95-6d8b89292cab}" ma:internalName="TaxCatchAll" ma:showField="CatchAllData" ma:web="9a1fa848-2d3d-40a8-bd28-42c24cfe87d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d917893-422c-47eb-978c-511aba5914b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Location" ma:index="25" nillable="true" ma:displayName="Location" ma:indexed="true" ma:internalName="MediaServiceLocation" ma:readOnly="true">
      <xsd:simpleType>
        <xsd:restriction base="dms:Text"/>
      </xsd:simple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9a1fa848-2d3d-40a8-bd28-42c24cfe87d2">
      <UserInfo>
        <DisplayName/>
        <AccountId xsi:nil="true"/>
        <AccountType/>
      </UserInfo>
    </SharedWithUsers>
    <lcf76f155ced4ddcb4097134ff3c332f xmlns="bd917893-422c-47eb-978c-511aba5914b5">
      <Terms xmlns="http://schemas.microsoft.com/office/infopath/2007/PartnerControls"/>
    </lcf76f155ced4ddcb4097134ff3c332f>
    <TaxCatchAll xmlns="9a1fa848-2d3d-40a8-bd28-42c24cfe87d2" xsi:nil="true"/>
    <RetentionEvent xmlns="9a1fa848-2d3d-40a8-bd28-42c24cfe87d2" xsi:nil="true"/>
    <RetentionStartDate xmlns="9a1fa848-2d3d-40a8-bd28-42c24cfe87d2" xsi:nil="true"/>
  </documentManagement>
</p:properties>
</file>

<file path=customXml/itemProps1.xml><?xml version="1.0" encoding="utf-8"?>
<ds:datastoreItem xmlns:ds="http://schemas.openxmlformats.org/officeDocument/2006/customXml" ds:itemID="{49D6F65B-F2D4-426B-A2E9-5947397CB780}">
  <ds:schemaRefs>
    <ds:schemaRef ds:uri="http://schemas.microsoft.com/sharepoint/v3/contenttype/forms"/>
  </ds:schemaRefs>
</ds:datastoreItem>
</file>

<file path=customXml/itemProps2.xml><?xml version="1.0" encoding="utf-8"?>
<ds:datastoreItem xmlns:ds="http://schemas.openxmlformats.org/officeDocument/2006/customXml" ds:itemID="{459D7C50-BE8B-4E49-9875-FCBAFC9644E9}"/>
</file>

<file path=customXml/itemProps3.xml><?xml version="1.0" encoding="utf-8"?>
<ds:datastoreItem xmlns:ds="http://schemas.openxmlformats.org/officeDocument/2006/customXml" ds:itemID="{2330A224-424C-4D9B-ADCE-20A23EA374B0}">
  <ds:schemaRefs>
    <ds:schemaRef ds:uri="http://schemas.microsoft.com/office/2006/metadata/properties"/>
    <ds:schemaRef ds:uri="http://schemas.microsoft.com/office/infopath/2007/PartnerControls"/>
    <ds:schemaRef ds:uri="d659e413-269f-4cc8-ac95-16b2a622a71e"/>
    <ds:schemaRef ds:uri="184d50a5-43af-47f4-968c-2c6f88688eeb"/>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7</Pages>
  <Words>2806</Words>
  <Characters>15995</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18764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James Roberts</dc:creator>
  <cp:lastModifiedBy>Abigail Holman</cp:lastModifiedBy>
  <cp:revision>17</cp:revision>
  <cp:lastPrinted>2021-12-09T13:11:00Z</cp:lastPrinted>
  <dcterms:created xsi:type="dcterms:W3CDTF">2021-12-09T13:01:00Z</dcterms:created>
  <dcterms:modified xsi:type="dcterms:W3CDTF">2024-05-22T14:24:00Z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0x0101007404917795BB8249B2AC3A1D36799D80</vt:lpwstr>
  </property>
  <property fmtid="{D5CDD505-2E9C-101B-9397-08002B2CF9AE}" pid="3" name="Order">
    <vt:r8>21365200</vt:r8>
  </property>
  <property fmtid="{D5CDD505-2E9C-101B-9397-08002B2CF9AE}" pid="4" name="MediaServiceImageTags">
    <vt:lpwstr/>
  </property>
</Properties>
</file>