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889" w:type="dxa"/>
        <w:tblLook w:val="04A0" w:firstRow="1" w:lastRow="0" w:firstColumn="1" w:lastColumn="0" w:noHBand="0" w:noVBand="1"/>
      </w:tblPr>
      <w:tblGrid>
        <w:gridCol w:w="3080"/>
        <w:gridCol w:w="6809"/>
      </w:tblGrid>
      <w:tr w:rsidR="00C72F84" w14:paraId="73B54C46" w14:textId="77777777" w:rsidTr="009039C8">
        <w:tc>
          <w:tcPr>
            <w:tcW w:w="3080" w:type="dxa"/>
          </w:tcPr>
          <w:p w14:paraId="73B54C44" w14:textId="174B53AF" w:rsidR="00C72F84" w:rsidRPr="009039C8" w:rsidRDefault="009039C8">
            <w:pPr>
              <w:rPr>
                <w:rFonts w:ascii="Arial" w:hAnsi="Arial" w:cs="Arial"/>
                <w:b/>
                <w:sz w:val="24"/>
                <w:szCs w:val="24"/>
              </w:rPr>
            </w:pPr>
            <w:r w:rsidRPr="009039C8">
              <w:rPr>
                <w:rFonts w:ascii="Arial" w:hAnsi="Arial" w:cs="Arial"/>
                <w:b/>
                <w:sz w:val="24"/>
                <w:szCs w:val="24"/>
              </w:rPr>
              <w:t>Current Policy (Jan 20</w:t>
            </w:r>
            <w:r w:rsidR="00024D19">
              <w:rPr>
                <w:rFonts w:ascii="Arial" w:hAnsi="Arial" w:cs="Arial"/>
                <w:b/>
                <w:sz w:val="24"/>
                <w:szCs w:val="24"/>
              </w:rPr>
              <w:t>21</w:t>
            </w:r>
            <w:r w:rsidR="00F12D09" w:rsidRPr="009039C8">
              <w:rPr>
                <w:rFonts w:ascii="Arial" w:hAnsi="Arial" w:cs="Arial"/>
                <w:b/>
                <w:sz w:val="24"/>
                <w:szCs w:val="24"/>
              </w:rPr>
              <w:t>)</w:t>
            </w:r>
          </w:p>
        </w:tc>
        <w:tc>
          <w:tcPr>
            <w:tcW w:w="6809" w:type="dxa"/>
          </w:tcPr>
          <w:p w14:paraId="73B54C45" w14:textId="77777777" w:rsidR="00C72F84" w:rsidRPr="009039C8" w:rsidRDefault="00F12D09">
            <w:pPr>
              <w:rPr>
                <w:rFonts w:ascii="Arial" w:hAnsi="Arial" w:cs="Arial"/>
                <w:b/>
                <w:sz w:val="24"/>
                <w:szCs w:val="24"/>
              </w:rPr>
            </w:pPr>
            <w:r w:rsidRPr="009039C8">
              <w:rPr>
                <w:rFonts w:ascii="Arial" w:hAnsi="Arial" w:cs="Arial"/>
                <w:b/>
                <w:sz w:val="24"/>
                <w:szCs w:val="24"/>
              </w:rPr>
              <w:t>Revision</w:t>
            </w:r>
          </w:p>
        </w:tc>
      </w:tr>
      <w:tr w:rsidR="00192C98" w:rsidRPr="00192C98" w14:paraId="5B28BD0F" w14:textId="77777777" w:rsidTr="009039C8">
        <w:tc>
          <w:tcPr>
            <w:tcW w:w="3080" w:type="dxa"/>
          </w:tcPr>
          <w:p w14:paraId="3C3408EF" w14:textId="0982352C" w:rsidR="00192C98" w:rsidRPr="00192C98" w:rsidRDefault="00192C98">
            <w:pPr>
              <w:rPr>
                <w:rFonts w:ascii="Arial" w:hAnsi="Arial" w:cs="Arial"/>
                <w:bCs/>
                <w:sz w:val="24"/>
                <w:szCs w:val="24"/>
              </w:rPr>
            </w:pPr>
            <w:r>
              <w:rPr>
                <w:rFonts w:ascii="Arial" w:hAnsi="Arial" w:cs="Arial"/>
                <w:bCs/>
                <w:sz w:val="24"/>
                <w:szCs w:val="24"/>
              </w:rPr>
              <w:t xml:space="preserve">1.2 </w:t>
            </w:r>
            <w:r w:rsidR="00BB4FF0" w:rsidRPr="00BB4FF0">
              <w:rPr>
                <w:rFonts w:ascii="Arial" w:hAnsi="Arial" w:cs="Arial"/>
                <w:bCs/>
                <w:sz w:val="24"/>
                <w:szCs w:val="24"/>
              </w:rPr>
              <w:t>Description of the geographical area in respect of which Bristol exercises functions under the Gambling Act.</w:t>
            </w:r>
          </w:p>
        </w:tc>
        <w:tc>
          <w:tcPr>
            <w:tcW w:w="6809" w:type="dxa"/>
          </w:tcPr>
          <w:p w14:paraId="33478E3E" w14:textId="36F89F41" w:rsidR="00192C98" w:rsidRPr="00192C98" w:rsidRDefault="00BB4FF0">
            <w:pPr>
              <w:rPr>
                <w:rFonts w:ascii="Arial" w:hAnsi="Arial" w:cs="Arial"/>
                <w:bCs/>
                <w:sz w:val="24"/>
                <w:szCs w:val="24"/>
              </w:rPr>
            </w:pPr>
            <w:r>
              <w:rPr>
                <w:rFonts w:ascii="Arial" w:hAnsi="Arial" w:cs="Arial"/>
                <w:bCs/>
                <w:sz w:val="24"/>
                <w:szCs w:val="24"/>
              </w:rPr>
              <w:t>Update to population data and source</w:t>
            </w:r>
          </w:p>
        </w:tc>
      </w:tr>
      <w:tr w:rsidR="00BB4FF0" w:rsidRPr="00192C98" w14:paraId="3BCEF3CF" w14:textId="77777777" w:rsidTr="009039C8">
        <w:tc>
          <w:tcPr>
            <w:tcW w:w="3080" w:type="dxa"/>
          </w:tcPr>
          <w:p w14:paraId="34DA74CC" w14:textId="0BED27E6" w:rsidR="00BB4FF0" w:rsidRDefault="00BB4FF0">
            <w:pPr>
              <w:rPr>
                <w:rFonts w:ascii="Arial" w:hAnsi="Arial" w:cs="Arial"/>
                <w:bCs/>
                <w:sz w:val="24"/>
                <w:szCs w:val="24"/>
              </w:rPr>
            </w:pPr>
            <w:r>
              <w:rPr>
                <w:rFonts w:ascii="Arial" w:hAnsi="Arial" w:cs="Arial"/>
                <w:bCs/>
                <w:sz w:val="24"/>
                <w:szCs w:val="24"/>
              </w:rPr>
              <w:t>1.3</w:t>
            </w:r>
            <w:r w:rsidR="00A5238B">
              <w:rPr>
                <w:rFonts w:ascii="Arial" w:hAnsi="Arial" w:cs="Arial"/>
                <w:bCs/>
                <w:sz w:val="24"/>
                <w:szCs w:val="24"/>
              </w:rPr>
              <w:t xml:space="preserve"> </w:t>
            </w:r>
            <w:r w:rsidR="00A5238B" w:rsidRPr="00A5238B">
              <w:rPr>
                <w:rFonts w:ascii="Arial" w:hAnsi="Arial" w:cs="Arial"/>
                <w:bCs/>
                <w:sz w:val="24"/>
                <w:szCs w:val="24"/>
              </w:rPr>
              <w:t>List of the persons whom the Council has consulted in preparing its Gambling Policy.</w:t>
            </w:r>
          </w:p>
        </w:tc>
        <w:tc>
          <w:tcPr>
            <w:tcW w:w="6809" w:type="dxa"/>
          </w:tcPr>
          <w:p w14:paraId="3BBF7A98" w14:textId="39698FF9" w:rsidR="00BB4FF0" w:rsidRDefault="00A5238B">
            <w:pPr>
              <w:rPr>
                <w:rFonts w:ascii="Arial" w:hAnsi="Arial" w:cs="Arial"/>
                <w:bCs/>
                <w:sz w:val="24"/>
                <w:szCs w:val="24"/>
              </w:rPr>
            </w:pPr>
            <w:r>
              <w:rPr>
                <w:rFonts w:ascii="Arial" w:hAnsi="Arial" w:cs="Arial"/>
                <w:bCs/>
                <w:sz w:val="24"/>
                <w:szCs w:val="24"/>
              </w:rPr>
              <w:t>Updates to consultees</w:t>
            </w:r>
            <w:r w:rsidR="00DD5548">
              <w:rPr>
                <w:rFonts w:ascii="Arial" w:hAnsi="Arial" w:cs="Arial"/>
                <w:bCs/>
                <w:sz w:val="24"/>
                <w:szCs w:val="24"/>
              </w:rPr>
              <w:t>.</w:t>
            </w:r>
          </w:p>
        </w:tc>
      </w:tr>
      <w:tr w:rsidR="00664A85" w:rsidRPr="00192C98" w14:paraId="7D6AD1C9" w14:textId="77777777" w:rsidTr="009039C8">
        <w:tc>
          <w:tcPr>
            <w:tcW w:w="3080" w:type="dxa"/>
          </w:tcPr>
          <w:p w14:paraId="6ED2A917" w14:textId="74938B15" w:rsidR="00664A85" w:rsidRDefault="003C6551">
            <w:pPr>
              <w:rPr>
                <w:rFonts w:ascii="Arial" w:hAnsi="Arial" w:cs="Arial"/>
                <w:bCs/>
                <w:sz w:val="24"/>
                <w:szCs w:val="24"/>
              </w:rPr>
            </w:pPr>
            <w:r>
              <w:rPr>
                <w:rFonts w:ascii="Arial" w:hAnsi="Arial" w:cs="Arial"/>
                <w:bCs/>
                <w:sz w:val="24"/>
                <w:szCs w:val="24"/>
              </w:rPr>
              <w:t xml:space="preserve">2.1 </w:t>
            </w:r>
            <w:r w:rsidRPr="003C6551">
              <w:rPr>
                <w:rFonts w:ascii="Arial" w:hAnsi="Arial" w:cs="Arial"/>
                <w:bCs/>
                <w:sz w:val="24"/>
                <w:szCs w:val="24"/>
              </w:rPr>
              <w:t>The principles to be applied by the Council in exercising the powers under Section 157(h) of the Act to designate, in writing, a body which is competent to advise the authority about the protection of children from harm</w:t>
            </w:r>
          </w:p>
        </w:tc>
        <w:tc>
          <w:tcPr>
            <w:tcW w:w="6809" w:type="dxa"/>
          </w:tcPr>
          <w:p w14:paraId="22ADB7A4" w14:textId="654CD5DC" w:rsidR="00664A85" w:rsidRDefault="003C6551">
            <w:pPr>
              <w:rPr>
                <w:rFonts w:ascii="Arial" w:hAnsi="Arial" w:cs="Arial"/>
                <w:bCs/>
                <w:sz w:val="24"/>
                <w:szCs w:val="24"/>
              </w:rPr>
            </w:pPr>
            <w:r>
              <w:rPr>
                <w:rFonts w:ascii="Arial" w:hAnsi="Arial" w:cs="Arial"/>
                <w:bCs/>
                <w:sz w:val="24"/>
                <w:szCs w:val="24"/>
              </w:rPr>
              <w:t>Minor change to wording to correct the tense of paragraph 4.</w:t>
            </w:r>
          </w:p>
        </w:tc>
      </w:tr>
      <w:tr w:rsidR="00552857" w:rsidRPr="00192C98" w14:paraId="1B6CADAD" w14:textId="77777777" w:rsidTr="009039C8">
        <w:tc>
          <w:tcPr>
            <w:tcW w:w="3080" w:type="dxa"/>
          </w:tcPr>
          <w:p w14:paraId="0392FD1F" w14:textId="3DD69285" w:rsidR="00552857" w:rsidRDefault="00B52066">
            <w:pPr>
              <w:rPr>
                <w:rFonts w:ascii="Arial" w:hAnsi="Arial" w:cs="Arial"/>
                <w:bCs/>
                <w:sz w:val="24"/>
                <w:szCs w:val="24"/>
              </w:rPr>
            </w:pPr>
            <w:r>
              <w:rPr>
                <w:rFonts w:ascii="Arial" w:hAnsi="Arial" w:cs="Arial"/>
                <w:bCs/>
                <w:sz w:val="24"/>
                <w:szCs w:val="24"/>
              </w:rPr>
              <w:t xml:space="preserve">2.3 </w:t>
            </w:r>
            <w:r w:rsidRPr="00B52066">
              <w:rPr>
                <w:rFonts w:ascii="Arial" w:hAnsi="Arial" w:cs="Arial"/>
                <w:bCs/>
                <w:sz w:val="24"/>
                <w:szCs w:val="24"/>
              </w:rPr>
              <w:t>The principles which will be applied by the Council in exercising the functions under Sections 29 and 30 of the Act with respect to the exchange of information between it and the Gambling Commission, and the Council’s functions under Section 350 of the Act with respect to the exchange of information between it and the other persons listed in Schedule 6 to the Act.</w:t>
            </w:r>
          </w:p>
        </w:tc>
        <w:tc>
          <w:tcPr>
            <w:tcW w:w="6809" w:type="dxa"/>
          </w:tcPr>
          <w:p w14:paraId="39054D21" w14:textId="5380CFFB" w:rsidR="00552857" w:rsidRDefault="00B52066">
            <w:pPr>
              <w:rPr>
                <w:rFonts w:ascii="Arial" w:hAnsi="Arial" w:cs="Arial"/>
                <w:bCs/>
                <w:sz w:val="24"/>
                <w:szCs w:val="24"/>
              </w:rPr>
            </w:pPr>
            <w:r>
              <w:rPr>
                <w:rFonts w:ascii="Arial" w:hAnsi="Arial" w:cs="Arial"/>
                <w:bCs/>
                <w:sz w:val="24"/>
                <w:szCs w:val="24"/>
              </w:rPr>
              <w:t xml:space="preserve">Update to relevant legislation </w:t>
            </w:r>
            <w:r w:rsidR="008974F0">
              <w:rPr>
                <w:rFonts w:ascii="Arial" w:hAnsi="Arial" w:cs="Arial"/>
                <w:bCs/>
                <w:sz w:val="24"/>
                <w:szCs w:val="24"/>
              </w:rPr>
              <w:t xml:space="preserve">relating to data protection. </w:t>
            </w:r>
          </w:p>
        </w:tc>
      </w:tr>
      <w:tr w:rsidR="006F2A58" w14:paraId="1E016050" w14:textId="77777777" w:rsidTr="009039C8">
        <w:tc>
          <w:tcPr>
            <w:tcW w:w="3080" w:type="dxa"/>
          </w:tcPr>
          <w:p w14:paraId="3509EEA6" w14:textId="5B1F3C76" w:rsidR="006F2A58" w:rsidRPr="006F2A58" w:rsidRDefault="006F2A58">
            <w:pPr>
              <w:rPr>
                <w:rFonts w:ascii="Arial" w:hAnsi="Arial" w:cs="Arial"/>
                <w:bCs/>
                <w:sz w:val="24"/>
                <w:szCs w:val="24"/>
              </w:rPr>
            </w:pPr>
            <w:r>
              <w:rPr>
                <w:rFonts w:ascii="Arial" w:hAnsi="Arial" w:cs="Arial"/>
                <w:bCs/>
                <w:sz w:val="24"/>
                <w:szCs w:val="24"/>
              </w:rPr>
              <w:t>3.8.1 Risk assessments</w:t>
            </w:r>
          </w:p>
        </w:tc>
        <w:tc>
          <w:tcPr>
            <w:tcW w:w="6809" w:type="dxa"/>
          </w:tcPr>
          <w:p w14:paraId="5915378F" w14:textId="724C3CD6" w:rsidR="006F2A58" w:rsidRPr="006F2A58" w:rsidRDefault="006F2A58">
            <w:pPr>
              <w:rPr>
                <w:rFonts w:ascii="Arial" w:hAnsi="Arial" w:cs="Arial"/>
                <w:bCs/>
                <w:sz w:val="24"/>
                <w:szCs w:val="24"/>
              </w:rPr>
            </w:pPr>
            <w:r>
              <w:rPr>
                <w:rFonts w:ascii="Arial" w:hAnsi="Arial" w:cs="Arial"/>
                <w:bCs/>
                <w:sz w:val="24"/>
                <w:szCs w:val="24"/>
              </w:rPr>
              <w:t>Addition of wording clarifying requirements to submit risk assessment on application.</w:t>
            </w:r>
          </w:p>
        </w:tc>
      </w:tr>
      <w:tr w:rsidR="00C72F84" w14:paraId="73B54C49" w14:textId="77777777" w:rsidTr="009039C8">
        <w:tc>
          <w:tcPr>
            <w:tcW w:w="3080" w:type="dxa"/>
          </w:tcPr>
          <w:p w14:paraId="73B54C47" w14:textId="49313F0C" w:rsidR="00C72F84" w:rsidRDefault="00A632FA">
            <w:pPr>
              <w:rPr>
                <w:rFonts w:ascii="Arial" w:hAnsi="Arial" w:cs="Arial"/>
                <w:sz w:val="24"/>
                <w:szCs w:val="24"/>
              </w:rPr>
            </w:pPr>
            <w:r>
              <w:rPr>
                <w:rFonts w:ascii="Arial" w:hAnsi="Arial" w:cs="Arial"/>
                <w:sz w:val="24"/>
                <w:szCs w:val="24"/>
              </w:rPr>
              <w:t>3.11 Gaming Machines (Gambling Commission Guidance: Part 16)</w:t>
            </w:r>
          </w:p>
        </w:tc>
        <w:tc>
          <w:tcPr>
            <w:tcW w:w="6809" w:type="dxa"/>
          </w:tcPr>
          <w:p w14:paraId="73B54C48" w14:textId="219ABAFE" w:rsidR="00C72F84" w:rsidRPr="00C52129" w:rsidRDefault="00A632FA">
            <w:pPr>
              <w:rPr>
                <w:rFonts w:ascii="Arial" w:hAnsi="Arial" w:cs="Arial"/>
                <w:sz w:val="24"/>
                <w:szCs w:val="24"/>
              </w:rPr>
            </w:pPr>
            <w:r>
              <w:rPr>
                <w:rFonts w:ascii="Arial" w:hAnsi="Arial" w:cs="Arial"/>
                <w:sz w:val="24"/>
                <w:szCs w:val="24"/>
              </w:rPr>
              <w:t xml:space="preserve">Addition of definition of available for use, </w:t>
            </w:r>
            <w:r w:rsidR="0022445E">
              <w:rPr>
                <w:rFonts w:ascii="Arial" w:hAnsi="Arial" w:cs="Arial"/>
                <w:sz w:val="24"/>
                <w:szCs w:val="24"/>
              </w:rPr>
              <w:t>space saving machines and tablets, and Electronic Bingo Terminals (EBTs).</w:t>
            </w:r>
          </w:p>
        </w:tc>
      </w:tr>
      <w:tr w:rsidR="00826C73" w14:paraId="06238079" w14:textId="77777777" w:rsidTr="009039C8">
        <w:tc>
          <w:tcPr>
            <w:tcW w:w="3080" w:type="dxa"/>
          </w:tcPr>
          <w:p w14:paraId="499729D2" w14:textId="7BF45114" w:rsidR="00826C73" w:rsidRDefault="00826C73">
            <w:pPr>
              <w:rPr>
                <w:rFonts w:ascii="Arial" w:hAnsi="Arial" w:cs="Arial"/>
                <w:sz w:val="24"/>
                <w:szCs w:val="24"/>
              </w:rPr>
            </w:pPr>
            <w:r>
              <w:rPr>
                <w:rFonts w:ascii="Arial" w:hAnsi="Arial" w:cs="Arial"/>
                <w:sz w:val="24"/>
                <w:szCs w:val="24"/>
              </w:rPr>
              <w:t>3.13</w:t>
            </w:r>
            <w:r w:rsidR="00332609">
              <w:rPr>
                <w:rFonts w:ascii="Arial" w:hAnsi="Arial" w:cs="Arial"/>
                <w:sz w:val="24"/>
                <w:szCs w:val="24"/>
              </w:rPr>
              <w:t xml:space="preserve"> </w:t>
            </w:r>
            <w:r w:rsidR="00332609" w:rsidRPr="00332609">
              <w:rPr>
                <w:rFonts w:ascii="Arial" w:hAnsi="Arial" w:cs="Arial"/>
                <w:sz w:val="24"/>
                <w:szCs w:val="24"/>
              </w:rPr>
              <w:t>Premises licensing for tracks (Gambling Commission Guidance: Part 20)</w:t>
            </w:r>
          </w:p>
        </w:tc>
        <w:tc>
          <w:tcPr>
            <w:tcW w:w="6809" w:type="dxa"/>
          </w:tcPr>
          <w:p w14:paraId="57060C1D" w14:textId="3271058F" w:rsidR="00826C73" w:rsidRDefault="00332609">
            <w:pPr>
              <w:rPr>
                <w:rFonts w:ascii="Arial" w:hAnsi="Arial" w:cs="Arial"/>
                <w:sz w:val="24"/>
                <w:szCs w:val="24"/>
              </w:rPr>
            </w:pPr>
            <w:r>
              <w:rPr>
                <w:rFonts w:ascii="Arial" w:hAnsi="Arial" w:cs="Arial"/>
                <w:sz w:val="24"/>
                <w:szCs w:val="24"/>
              </w:rPr>
              <w:t>Expansion of definition of ‘Track’</w:t>
            </w:r>
            <w:r w:rsidR="0019674B">
              <w:rPr>
                <w:rFonts w:ascii="Arial" w:hAnsi="Arial" w:cs="Arial"/>
                <w:sz w:val="24"/>
                <w:szCs w:val="24"/>
              </w:rPr>
              <w:t xml:space="preserve"> and examples</w:t>
            </w:r>
            <w:r w:rsidR="005836D7">
              <w:rPr>
                <w:rFonts w:ascii="Arial" w:hAnsi="Arial" w:cs="Arial"/>
                <w:sz w:val="24"/>
                <w:szCs w:val="24"/>
              </w:rPr>
              <w:t xml:space="preserve"> of types of premises which would meet the definition.</w:t>
            </w:r>
          </w:p>
          <w:p w14:paraId="472C3614" w14:textId="701E1705" w:rsidR="00D616AC" w:rsidRDefault="00D616AC">
            <w:pPr>
              <w:rPr>
                <w:rFonts w:ascii="Arial" w:hAnsi="Arial" w:cs="Arial"/>
                <w:sz w:val="24"/>
                <w:szCs w:val="24"/>
              </w:rPr>
            </w:pPr>
            <w:r>
              <w:rPr>
                <w:rFonts w:ascii="Arial" w:hAnsi="Arial" w:cs="Arial"/>
                <w:sz w:val="24"/>
                <w:szCs w:val="24"/>
              </w:rPr>
              <w:t xml:space="preserve">Addition of detail around </w:t>
            </w:r>
            <w:r w:rsidR="002800BC">
              <w:rPr>
                <w:rFonts w:ascii="Arial" w:hAnsi="Arial" w:cs="Arial"/>
                <w:sz w:val="24"/>
                <w:szCs w:val="24"/>
              </w:rPr>
              <w:t xml:space="preserve">types of track betting. </w:t>
            </w:r>
          </w:p>
        </w:tc>
      </w:tr>
      <w:tr w:rsidR="00DD4B43" w14:paraId="73B54C4C" w14:textId="77777777" w:rsidTr="009039C8">
        <w:tc>
          <w:tcPr>
            <w:tcW w:w="3080" w:type="dxa"/>
          </w:tcPr>
          <w:p w14:paraId="73B54C4A" w14:textId="6ADF03C9" w:rsidR="00DD4B43" w:rsidRDefault="008B7308">
            <w:pPr>
              <w:rPr>
                <w:rFonts w:ascii="Arial" w:hAnsi="Arial" w:cs="Arial"/>
                <w:sz w:val="24"/>
                <w:szCs w:val="24"/>
              </w:rPr>
            </w:pPr>
            <w:r>
              <w:rPr>
                <w:rFonts w:ascii="Arial" w:hAnsi="Arial" w:cs="Arial"/>
                <w:sz w:val="24"/>
                <w:szCs w:val="24"/>
              </w:rPr>
              <w:t xml:space="preserve">3.14 </w:t>
            </w:r>
            <w:r w:rsidR="000B68B0" w:rsidRPr="000B68B0">
              <w:rPr>
                <w:rFonts w:ascii="Arial" w:hAnsi="Arial" w:cs="Arial"/>
                <w:sz w:val="24"/>
                <w:szCs w:val="24"/>
              </w:rPr>
              <w:t>Adult Gaming Centres (Gambling Commission Guidance: Part 21)</w:t>
            </w:r>
          </w:p>
        </w:tc>
        <w:tc>
          <w:tcPr>
            <w:tcW w:w="6809" w:type="dxa"/>
          </w:tcPr>
          <w:p w14:paraId="73B54C4B" w14:textId="02AFFE4C" w:rsidR="00DD4B43" w:rsidRDefault="000B68B0">
            <w:pPr>
              <w:rPr>
                <w:rFonts w:ascii="Arial" w:hAnsi="Arial" w:cs="Arial"/>
                <w:sz w:val="24"/>
                <w:szCs w:val="24"/>
              </w:rPr>
            </w:pPr>
            <w:r>
              <w:rPr>
                <w:rFonts w:ascii="Arial" w:hAnsi="Arial" w:cs="Arial"/>
                <w:sz w:val="24"/>
                <w:szCs w:val="24"/>
              </w:rPr>
              <w:t xml:space="preserve">Addition of </w:t>
            </w:r>
            <w:r w:rsidR="00D636D5">
              <w:rPr>
                <w:rFonts w:ascii="Arial" w:hAnsi="Arial" w:cs="Arial"/>
                <w:sz w:val="24"/>
                <w:szCs w:val="24"/>
              </w:rPr>
              <w:t xml:space="preserve">requirement under </w:t>
            </w:r>
            <w:r>
              <w:rPr>
                <w:rFonts w:ascii="Arial" w:hAnsi="Arial" w:cs="Arial"/>
                <w:sz w:val="24"/>
                <w:szCs w:val="24"/>
              </w:rPr>
              <w:t>S</w:t>
            </w:r>
            <w:r w:rsidR="00D636D5">
              <w:rPr>
                <w:rFonts w:ascii="Arial" w:hAnsi="Arial" w:cs="Arial"/>
                <w:sz w:val="24"/>
                <w:szCs w:val="24"/>
              </w:rPr>
              <w:t>ocial Responsibility Code</w:t>
            </w:r>
            <w:r>
              <w:rPr>
                <w:rFonts w:ascii="Arial" w:hAnsi="Arial" w:cs="Arial"/>
                <w:sz w:val="24"/>
                <w:szCs w:val="24"/>
              </w:rPr>
              <w:t xml:space="preserve"> 3.5.6 requiring self-exclusion</w:t>
            </w:r>
            <w:r w:rsidR="00D636D5">
              <w:rPr>
                <w:rFonts w:ascii="Arial" w:hAnsi="Arial" w:cs="Arial"/>
                <w:sz w:val="24"/>
                <w:szCs w:val="24"/>
              </w:rPr>
              <w:t xml:space="preserve"> schemes to be made available. </w:t>
            </w:r>
          </w:p>
        </w:tc>
      </w:tr>
      <w:tr w:rsidR="00910D89" w14:paraId="051261C6" w14:textId="77777777" w:rsidTr="009039C8">
        <w:tc>
          <w:tcPr>
            <w:tcW w:w="3080" w:type="dxa"/>
          </w:tcPr>
          <w:p w14:paraId="1021E9E6" w14:textId="3E25BF9F" w:rsidR="00910D89" w:rsidRDefault="00910D89">
            <w:pPr>
              <w:rPr>
                <w:rFonts w:ascii="Arial" w:hAnsi="Arial" w:cs="Arial"/>
                <w:sz w:val="24"/>
                <w:szCs w:val="24"/>
              </w:rPr>
            </w:pPr>
            <w:r>
              <w:rPr>
                <w:rFonts w:ascii="Arial" w:hAnsi="Arial" w:cs="Arial"/>
                <w:sz w:val="24"/>
                <w:szCs w:val="24"/>
              </w:rPr>
              <w:t xml:space="preserve">3.20.1 </w:t>
            </w:r>
            <w:r w:rsidR="009E4DA0" w:rsidRPr="009E4DA0">
              <w:rPr>
                <w:rFonts w:ascii="Arial" w:hAnsi="Arial" w:cs="Arial"/>
                <w:sz w:val="24"/>
                <w:szCs w:val="24"/>
              </w:rPr>
              <w:t xml:space="preserve">Unlicensed Family </w:t>
            </w:r>
            <w:r w:rsidR="009E4DA0" w:rsidRPr="009E4DA0">
              <w:rPr>
                <w:rFonts w:ascii="Arial" w:hAnsi="Arial" w:cs="Arial"/>
                <w:sz w:val="24"/>
                <w:szCs w:val="24"/>
              </w:rPr>
              <w:lastRenderedPageBreak/>
              <w:t>Entertainment Centre Gaming Machine Permits (Gambling Commission Guidance: Part 24)</w:t>
            </w:r>
          </w:p>
        </w:tc>
        <w:tc>
          <w:tcPr>
            <w:tcW w:w="6809" w:type="dxa"/>
          </w:tcPr>
          <w:p w14:paraId="0016C864" w14:textId="17F32353" w:rsidR="00910D89" w:rsidRDefault="009E4DA0">
            <w:pPr>
              <w:rPr>
                <w:rFonts w:ascii="Arial" w:hAnsi="Arial" w:cs="Arial"/>
                <w:sz w:val="24"/>
                <w:szCs w:val="24"/>
              </w:rPr>
            </w:pPr>
            <w:r>
              <w:rPr>
                <w:rFonts w:ascii="Arial" w:hAnsi="Arial" w:cs="Arial"/>
                <w:sz w:val="24"/>
                <w:szCs w:val="24"/>
              </w:rPr>
              <w:lastRenderedPageBreak/>
              <w:t xml:space="preserve">Addition of wording clarifying requirement for UFEC and type </w:t>
            </w:r>
            <w:r>
              <w:rPr>
                <w:rFonts w:ascii="Arial" w:hAnsi="Arial" w:cs="Arial"/>
                <w:sz w:val="24"/>
                <w:szCs w:val="24"/>
              </w:rPr>
              <w:lastRenderedPageBreak/>
              <w:t xml:space="preserve">of </w:t>
            </w:r>
            <w:r w:rsidR="00294D0F">
              <w:rPr>
                <w:rFonts w:ascii="Arial" w:hAnsi="Arial" w:cs="Arial"/>
                <w:sz w:val="24"/>
                <w:szCs w:val="24"/>
              </w:rPr>
              <w:t>designated area.</w:t>
            </w:r>
          </w:p>
        </w:tc>
      </w:tr>
      <w:tr w:rsidR="009A5840" w14:paraId="73B54C4F" w14:textId="77777777" w:rsidTr="009039C8">
        <w:tc>
          <w:tcPr>
            <w:tcW w:w="3080" w:type="dxa"/>
          </w:tcPr>
          <w:p w14:paraId="73B54C4D" w14:textId="31910F58" w:rsidR="009A5840" w:rsidRDefault="00042D92">
            <w:pPr>
              <w:rPr>
                <w:rFonts w:ascii="Arial" w:hAnsi="Arial" w:cs="Arial"/>
                <w:sz w:val="24"/>
                <w:szCs w:val="24"/>
              </w:rPr>
            </w:pPr>
            <w:r>
              <w:rPr>
                <w:rFonts w:ascii="Arial" w:hAnsi="Arial" w:cs="Arial"/>
                <w:sz w:val="24"/>
                <w:szCs w:val="24"/>
              </w:rPr>
              <w:lastRenderedPageBreak/>
              <w:t>3.</w:t>
            </w:r>
            <w:r w:rsidR="00467943">
              <w:rPr>
                <w:rFonts w:ascii="Arial" w:hAnsi="Arial" w:cs="Arial"/>
                <w:sz w:val="24"/>
                <w:szCs w:val="24"/>
              </w:rPr>
              <w:t xml:space="preserve">20.6 </w:t>
            </w:r>
            <w:r w:rsidR="00467943" w:rsidRPr="00467943">
              <w:rPr>
                <w:rFonts w:ascii="Arial" w:hAnsi="Arial" w:cs="Arial"/>
                <w:sz w:val="24"/>
                <w:szCs w:val="24"/>
              </w:rPr>
              <w:t>Occasional Use Notices (Gambling Commission Guidance: Part 15)</w:t>
            </w:r>
          </w:p>
        </w:tc>
        <w:tc>
          <w:tcPr>
            <w:tcW w:w="6809" w:type="dxa"/>
          </w:tcPr>
          <w:p w14:paraId="7500FF8C" w14:textId="77777777" w:rsidR="00467943" w:rsidRDefault="00467943">
            <w:pPr>
              <w:rPr>
                <w:rFonts w:ascii="Arial" w:hAnsi="Arial" w:cs="Arial"/>
                <w:sz w:val="24"/>
                <w:szCs w:val="24"/>
              </w:rPr>
            </w:pPr>
            <w:r>
              <w:rPr>
                <w:rFonts w:ascii="Arial" w:hAnsi="Arial" w:cs="Arial"/>
                <w:sz w:val="24"/>
                <w:szCs w:val="24"/>
              </w:rPr>
              <w:t>Addition of wording relating to definition of a ‘Track’</w:t>
            </w:r>
          </w:p>
          <w:p w14:paraId="73B54C4E" w14:textId="1B3BF8D8" w:rsidR="009A5840" w:rsidRPr="00C52129" w:rsidRDefault="00467943">
            <w:pPr>
              <w:rPr>
                <w:rFonts w:ascii="Arial" w:hAnsi="Arial" w:cs="Arial"/>
                <w:sz w:val="24"/>
                <w:szCs w:val="24"/>
              </w:rPr>
            </w:pPr>
            <w:r>
              <w:rPr>
                <w:rFonts w:ascii="Arial" w:hAnsi="Arial" w:cs="Arial"/>
                <w:sz w:val="24"/>
                <w:szCs w:val="24"/>
              </w:rPr>
              <w:t xml:space="preserve">Addition of detail regarding use of OUNs for non-commercial fundraising race-nights.  </w:t>
            </w:r>
          </w:p>
        </w:tc>
      </w:tr>
      <w:tr w:rsidR="00C72F84" w14:paraId="73B54C95" w14:textId="77777777" w:rsidTr="009039C8">
        <w:tc>
          <w:tcPr>
            <w:tcW w:w="3080" w:type="dxa"/>
          </w:tcPr>
          <w:p w14:paraId="73B54C93" w14:textId="1A2EB970" w:rsidR="00C72F84" w:rsidRDefault="00C72F84">
            <w:pPr>
              <w:rPr>
                <w:rFonts w:ascii="Arial" w:hAnsi="Arial" w:cs="Arial"/>
                <w:sz w:val="24"/>
                <w:szCs w:val="24"/>
              </w:rPr>
            </w:pPr>
          </w:p>
        </w:tc>
        <w:tc>
          <w:tcPr>
            <w:tcW w:w="6809" w:type="dxa"/>
          </w:tcPr>
          <w:p w14:paraId="73B54C94" w14:textId="2A8DBA3F" w:rsidR="003C1CAF" w:rsidRPr="00C52129" w:rsidRDefault="003C1CAF">
            <w:pPr>
              <w:rPr>
                <w:rFonts w:ascii="Arial" w:hAnsi="Arial" w:cs="Arial"/>
                <w:sz w:val="24"/>
                <w:szCs w:val="24"/>
              </w:rPr>
            </w:pPr>
          </w:p>
        </w:tc>
      </w:tr>
      <w:tr w:rsidR="00C261D5" w14:paraId="73B54C98" w14:textId="77777777" w:rsidTr="009039C8">
        <w:tc>
          <w:tcPr>
            <w:tcW w:w="3080" w:type="dxa"/>
          </w:tcPr>
          <w:p w14:paraId="73B54C96" w14:textId="6ACE5A69" w:rsidR="00C261D5" w:rsidRDefault="00C261D5">
            <w:pPr>
              <w:rPr>
                <w:rFonts w:ascii="Arial" w:hAnsi="Arial" w:cs="Arial"/>
                <w:sz w:val="24"/>
                <w:szCs w:val="24"/>
              </w:rPr>
            </w:pPr>
          </w:p>
        </w:tc>
        <w:tc>
          <w:tcPr>
            <w:tcW w:w="6809" w:type="dxa"/>
          </w:tcPr>
          <w:p w14:paraId="73B54C97" w14:textId="0D8CBA28" w:rsidR="00C261D5" w:rsidRPr="00C52129" w:rsidRDefault="00C261D5">
            <w:pPr>
              <w:rPr>
                <w:rFonts w:ascii="Arial" w:hAnsi="Arial" w:cs="Arial"/>
                <w:sz w:val="24"/>
                <w:szCs w:val="24"/>
              </w:rPr>
            </w:pPr>
          </w:p>
        </w:tc>
      </w:tr>
    </w:tbl>
    <w:p w14:paraId="73B54C99" w14:textId="77777777" w:rsidR="00C72F84" w:rsidRDefault="00C72F84" w:rsidP="00821F20">
      <w:pPr>
        <w:rPr>
          <w:rFonts w:ascii="Arial" w:hAnsi="Arial" w:cs="Arial"/>
          <w:sz w:val="24"/>
          <w:szCs w:val="24"/>
        </w:rPr>
      </w:pPr>
    </w:p>
    <w:sectPr w:rsidR="00C72F84" w:rsidSect="00821F20">
      <w:headerReference w:type="default" r:id="rId9"/>
      <w:pgSz w:w="11906" w:h="16838"/>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AD5BE0" w14:textId="77777777" w:rsidR="00AC52B5" w:rsidRDefault="00AC52B5">
      <w:pPr>
        <w:spacing w:after="0" w:line="240" w:lineRule="auto"/>
      </w:pPr>
      <w:r>
        <w:separator/>
      </w:r>
    </w:p>
  </w:endnote>
  <w:endnote w:type="continuationSeparator" w:id="0">
    <w:p w14:paraId="513A9C91" w14:textId="77777777" w:rsidR="00AC52B5" w:rsidRDefault="00AC52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B76779" w14:textId="77777777" w:rsidR="00AC52B5" w:rsidRDefault="00AC52B5">
      <w:pPr>
        <w:spacing w:after="0" w:line="240" w:lineRule="auto"/>
      </w:pPr>
      <w:r>
        <w:separator/>
      </w:r>
    </w:p>
  </w:footnote>
  <w:footnote w:type="continuationSeparator" w:id="0">
    <w:p w14:paraId="313305E7" w14:textId="77777777" w:rsidR="00AC52B5" w:rsidRDefault="00AC52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B54C9E" w14:textId="77777777" w:rsidR="00C72F84" w:rsidRDefault="00F12D09">
    <w:pPr>
      <w:pStyle w:val="Header"/>
      <w:rPr>
        <w:b/>
        <w:sz w:val="28"/>
        <w:szCs w:val="28"/>
      </w:rPr>
    </w:pPr>
    <w:r>
      <w:rPr>
        <w:b/>
        <w:sz w:val="28"/>
        <w:szCs w:val="28"/>
      </w:rPr>
      <w:t>Gambling Policy – Summary of changes between old and new policies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72F84"/>
    <w:rsid w:val="00006D58"/>
    <w:rsid w:val="00024D19"/>
    <w:rsid w:val="00041564"/>
    <w:rsid w:val="00042D92"/>
    <w:rsid w:val="000B68B0"/>
    <w:rsid w:val="001401FF"/>
    <w:rsid w:val="00192C98"/>
    <w:rsid w:val="00193301"/>
    <w:rsid w:val="0019674B"/>
    <w:rsid w:val="0022445E"/>
    <w:rsid w:val="00245139"/>
    <w:rsid w:val="002800BC"/>
    <w:rsid w:val="00294D0F"/>
    <w:rsid w:val="002C40D2"/>
    <w:rsid w:val="00332609"/>
    <w:rsid w:val="00350B6B"/>
    <w:rsid w:val="003C1CAF"/>
    <w:rsid w:val="003C6551"/>
    <w:rsid w:val="003E5A30"/>
    <w:rsid w:val="00403034"/>
    <w:rsid w:val="004219CA"/>
    <w:rsid w:val="004375F5"/>
    <w:rsid w:val="00450DE6"/>
    <w:rsid w:val="00467943"/>
    <w:rsid w:val="0048101D"/>
    <w:rsid w:val="004813BD"/>
    <w:rsid w:val="004D720B"/>
    <w:rsid w:val="00552857"/>
    <w:rsid w:val="00563B47"/>
    <w:rsid w:val="00576474"/>
    <w:rsid w:val="005836D7"/>
    <w:rsid w:val="005920A2"/>
    <w:rsid w:val="005A07E7"/>
    <w:rsid w:val="005A661F"/>
    <w:rsid w:val="005C1E33"/>
    <w:rsid w:val="005F54CD"/>
    <w:rsid w:val="0064153D"/>
    <w:rsid w:val="00650074"/>
    <w:rsid w:val="00664A85"/>
    <w:rsid w:val="006729E2"/>
    <w:rsid w:val="006A26D7"/>
    <w:rsid w:val="006F2A58"/>
    <w:rsid w:val="00716861"/>
    <w:rsid w:val="00745A48"/>
    <w:rsid w:val="007A5F0A"/>
    <w:rsid w:val="007F3504"/>
    <w:rsid w:val="00821F20"/>
    <w:rsid w:val="00826C73"/>
    <w:rsid w:val="00871E56"/>
    <w:rsid w:val="00887301"/>
    <w:rsid w:val="008974F0"/>
    <w:rsid w:val="008B7308"/>
    <w:rsid w:val="009039C8"/>
    <w:rsid w:val="00910D89"/>
    <w:rsid w:val="009973B5"/>
    <w:rsid w:val="009A5840"/>
    <w:rsid w:val="009B16E8"/>
    <w:rsid w:val="009E4DA0"/>
    <w:rsid w:val="009F52E2"/>
    <w:rsid w:val="00A32A0D"/>
    <w:rsid w:val="00A43AE5"/>
    <w:rsid w:val="00A5238B"/>
    <w:rsid w:val="00A632FA"/>
    <w:rsid w:val="00A91B65"/>
    <w:rsid w:val="00A92DD5"/>
    <w:rsid w:val="00A93E10"/>
    <w:rsid w:val="00AA50A5"/>
    <w:rsid w:val="00AC52B5"/>
    <w:rsid w:val="00AE5702"/>
    <w:rsid w:val="00B41990"/>
    <w:rsid w:val="00B41A3D"/>
    <w:rsid w:val="00B52066"/>
    <w:rsid w:val="00BB4FF0"/>
    <w:rsid w:val="00BB6C84"/>
    <w:rsid w:val="00C064D2"/>
    <w:rsid w:val="00C15CC1"/>
    <w:rsid w:val="00C22818"/>
    <w:rsid w:val="00C261D5"/>
    <w:rsid w:val="00C34B13"/>
    <w:rsid w:val="00C52129"/>
    <w:rsid w:val="00C72F84"/>
    <w:rsid w:val="00C778DF"/>
    <w:rsid w:val="00CB25C4"/>
    <w:rsid w:val="00CC0D53"/>
    <w:rsid w:val="00D13B8A"/>
    <w:rsid w:val="00D616AC"/>
    <w:rsid w:val="00D636D5"/>
    <w:rsid w:val="00D80B8B"/>
    <w:rsid w:val="00D91C93"/>
    <w:rsid w:val="00DD4B43"/>
    <w:rsid w:val="00DD5548"/>
    <w:rsid w:val="00DD5D92"/>
    <w:rsid w:val="00E13B3D"/>
    <w:rsid w:val="00E21636"/>
    <w:rsid w:val="00E61D10"/>
    <w:rsid w:val="00E76BA6"/>
    <w:rsid w:val="00E81DCD"/>
    <w:rsid w:val="00E90967"/>
    <w:rsid w:val="00EB3AC1"/>
    <w:rsid w:val="00F12D09"/>
    <w:rsid w:val="00FC2D8B"/>
    <w:rsid w:val="00FD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54C44"/>
  <w15:docId w15:val="{D4366B59-9B51-4E34-BCA3-01CAF7847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pPr>
      <w:tabs>
        <w:tab w:val="center" w:pos="4513"/>
        <w:tab w:val="right" w:pos="9026"/>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513"/>
        <w:tab w:val="right" w:pos="9026"/>
      </w:tabs>
      <w:spacing w:after="0" w:line="240" w:lineRule="auto"/>
    </w:pPr>
  </w:style>
  <w:style w:type="character" w:customStyle="1" w:styleId="FooterChar">
    <w:name w:val="Footer Char"/>
    <w:basedOn w:val="DefaultParagraphFont"/>
    <w:link w:val="Footer"/>
    <w:uiPriority w:val="99"/>
  </w:style>
  <w:style w:type="paragraph" w:styleId="BalloonText">
    <w:name w:val="Balloon Text"/>
    <w:basedOn w:val="Normal"/>
    <w:link w:val="BalloonTextChar"/>
    <w:uiPriority w:val="99"/>
    <w:semiHidden/>
    <w:unhideWhenUsed/>
    <w:rsid w:val="001401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01F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404917795BB8249B2AC3A1D36799D80" ma:contentTypeVersion="20" ma:contentTypeDescription="Create a new document." ma:contentTypeScope="" ma:versionID="7ba96ca2b402178f1841cd13f5366850">
  <xsd:schema xmlns:xsd="http://www.w3.org/2001/XMLSchema" xmlns:xs="http://www.w3.org/2001/XMLSchema" xmlns:p="http://schemas.microsoft.com/office/2006/metadata/properties" xmlns:ns2="9a1fa848-2d3d-40a8-bd28-42c24cfe87d2" xmlns:ns3="bd917893-422c-47eb-978c-511aba5914b5" targetNamespace="http://schemas.microsoft.com/office/2006/metadata/properties" ma:root="true" ma:fieldsID="3c897c076f6948289c341960a403cee6" ns2:_="" ns3:_="">
    <xsd:import namespace="9a1fa848-2d3d-40a8-bd28-42c24cfe87d2"/>
    <xsd:import namespace="bd917893-422c-47eb-978c-511aba5914b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2:SharedWithUsers" minOccurs="0"/>
                <xsd:element ref="ns2:SharedWithDetails" minOccurs="0"/>
                <xsd:element ref="ns3:lcf76f155ced4ddcb4097134ff3c332f" minOccurs="0"/>
                <xsd:element ref="ns2:TaxCatchAll" minOccurs="0"/>
                <xsd:element ref="ns3:MediaServiceLocation"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1fa848-2d3d-40a8-bd28-42c24cfe87d2"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5993e0a5-7636-4e91-be95-6d8b89292cab}" ma:internalName="TaxCatchAll" ma:showField="CatchAllData" ma:web="9a1fa848-2d3d-40a8-bd28-42c24cfe87d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d917893-422c-47eb-978c-511aba5914b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9a1fa848-2d3d-40a8-bd28-42c24cfe87d2">
      <UserInfo>
        <DisplayName/>
        <AccountId xsi:nil="true"/>
        <AccountType/>
      </UserInfo>
    </SharedWithUsers>
    <lcf76f155ced4ddcb4097134ff3c332f xmlns="bd917893-422c-47eb-978c-511aba5914b5">
      <Terms xmlns="http://schemas.microsoft.com/office/infopath/2007/PartnerControls"/>
    </lcf76f155ced4ddcb4097134ff3c332f>
    <TaxCatchAll xmlns="9a1fa848-2d3d-40a8-bd28-42c24cfe87d2" xsi:nil="true"/>
    <RetentionEvent xmlns="9a1fa848-2d3d-40a8-bd28-42c24cfe87d2" xsi:nil="true"/>
    <RetentionStartDate xmlns="9a1fa848-2d3d-40a8-bd28-42c24cfe87d2" xsi:nil="true"/>
  </documentManagement>
</p:properties>
</file>

<file path=customXml/itemProps1.xml><?xml version="1.0" encoding="utf-8"?>
<ds:datastoreItem xmlns:ds="http://schemas.openxmlformats.org/officeDocument/2006/customXml" ds:itemID="{42987C7C-2C2A-429E-8451-E1BBBA3F76C6}"/>
</file>

<file path=customXml/itemProps2.xml><?xml version="1.0" encoding="utf-8"?>
<ds:datastoreItem xmlns:ds="http://schemas.openxmlformats.org/officeDocument/2006/customXml" ds:itemID="{D136443A-7346-4E05-BA91-30C99FBE1974}">
  <ds:schemaRefs>
    <ds:schemaRef ds:uri="http://schemas.microsoft.com/sharepoint/v3/contenttype/forms"/>
  </ds:schemaRefs>
</ds:datastoreItem>
</file>

<file path=customXml/itemProps3.xml><?xml version="1.0" encoding="utf-8"?>
<ds:datastoreItem xmlns:ds="http://schemas.openxmlformats.org/officeDocument/2006/customXml" ds:itemID="{B6A6458D-ED87-4F5C-A388-7FC31C802C41}">
  <ds:schemaRefs>
    <ds:schemaRef ds:uri="http://schemas.microsoft.com/office/2006/metadata/properties"/>
    <ds:schemaRef ds:uri="http://schemas.microsoft.com/office/infopath/2007/PartnerControls"/>
    <ds:schemaRef ds:uri="d659e413-269f-4cc8-ac95-16b2a622a71e"/>
    <ds:schemaRef ds:uri="184d50a5-43af-47f4-968c-2c6f88688eeb"/>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Pages>
  <Words>318</Words>
  <Characters>1819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Nick Carter</dc:creator>
  <cp:lastModifiedBy>Abigail Holman</cp:lastModifiedBy>
  <cp:revision>30</cp:revision>
  <cp:lastPrinted>2015-01-28T11:56:00Z</cp:lastPrinted>
  <dcterms:created xsi:type="dcterms:W3CDTF">2021-09-08T13:52:00Z</dcterms:created>
  <dcterms:modified xsi:type="dcterms:W3CDTF">2024-05-23T10:36:00Z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0x0101007404917795BB8249B2AC3A1D36799D80</vt:lpwstr>
  </property>
  <property fmtid="{D5CDD505-2E9C-101B-9397-08002B2CF9AE}" pid="3" name="Order">
    <vt:r8>21371000</vt:r8>
  </property>
  <property fmtid="{D5CDD505-2E9C-101B-9397-08002B2CF9AE}" pid="4" name="MediaServiceImageTags">
    <vt:lpwstr/>
  </property>
</Properties>
</file>